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AE3" w:rsidRPr="00DE39B5" w:rsidRDefault="00B669A0" w:rsidP="00B669A0">
      <w:pPr>
        <w:spacing w:after="0"/>
        <w:jc w:val="center"/>
        <w:rPr>
          <w:b/>
          <w:bCs/>
          <w:lang w:val="en-GB"/>
        </w:rPr>
      </w:pPr>
      <w:r w:rsidRPr="00DE39B5">
        <w:rPr>
          <w:b/>
          <w:bCs/>
          <w:lang w:val="en-GB"/>
        </w:rPr>
        <w:t>TARGETED STAKEHOLDER CONSULTATION 2021 RULE OF LAW REPORT</w:t>
      </w:r>
    </w:p>
    <w:p w:rsidR="00B669A0" w:rsidRPr="00DE39B5" w:rsidRDefault="00B669A0" w:rsidP="00B669A0">
      <w:pPr>
        <w:spacing w:after="0"/>
        <w:jc w:val="center"/>
        <w:rPr>
          <w:b/>
          <w:bCs/>
          <w:lang w:val="en-GB"/>
        </w:rPr>
      </w:pPr>
      <w:r w:rsidRPr="00DE39B5">
        <w:rPr>
          <w:b/>
          <w:bCs/>
          <w:lang w:val="en-GB"/>
        </w:rPr>
        <w:t>UN HUMAN RIGHTS REGIONAL OFFICE FOR EUROPE (OHCHR)</w:t>
      </w:r>
    </w:p>
    <w:p w:rsidR="008F5F0F" w:rsidRPr="00DE39B5" w:rsidRDefault="008F5F0F" w:rsidP="00815599">
      <w:pPr>
        <w:jc w:val="both"/>
        <w:rPr>
          <w:lang w:val="en-GB"/>
        </w:rPr>
      </w:pPr>
    </w:p>
    <w:p w:rsidR="001B7CA2" w:rsidRPr="00DE39B5" w:rsidRDefault="00C560E0" w:rsidP="00B669A0">
      <w:pPr>
        <w:pBdr>
          <w:bottom w:val="single" w:sz="4" w:space="1" w:color="auto"/>
        </w:pBdr>
        <w:rPr>
          <w:b/>
          <w:bCs/>
          <w:lang w:val="en-GB"/>
        </w:rPr>
      </w:pPr>
      <w:r>
        <w:rPr>
          <w:b/>
          <w:bCs/>
          <w:lang w:val="en-GB"/>
        </w:rPr>
        <w:t>PORTUGAL</w:t>
      </w:r>
      <w:r w:rsidR="00B669A0" w:rsidRPr="00DE39B5">
        <w:rPr>
          <w:b/>
          <w:bCs/>
          <w:lang w:val="en-GB"/>
        </w:rPr>
        <w:t xml:space="preserve"> REVIEW</w:t>
      </w:r>
    </w:p>
    <w:p w:rsidR="001B7CA2" w:rsidRPr="00DE39B5" w:rsidRDefault="001B7CA2" w:rsidP="0053056D">
      <w:pPr>
        <w:spacing w:line="240" w:lineRule="auto"/>
        <w:jc w:val="both"/>
        <w:rPr>
          <w:lang w:val="en-GB"/>
        </w:rPr>
      </w:pPr>
      <w:r w:rsidRPr="00DE39B5">
        <w:rPr>
          <w:b/>
          <w:bCs/>
          <w:lang w:val="en-GB"/>
        </w:rPr>
        <w:t xml:space="preserve">I. Justice System </w:t>
      </w:r>
    </w:p>
    <w:p w:rsidR="001B7CA2" w:rsidRPr="00DE39B5" w:rsidRDefault="001B7CA2" w:rsidP="0053056D">
      <w:pPr>
        <w:spacing w:line="240" w:lineRule="auto"/>
        <w:jc w:val="both"/>
        <w:rPr>
          <w:lang w:val="en-GB"/>
        </w:rPr>
      </w:pPr>
      <w:r w:rsidRPr="00DE39B5">
        <w:rPr>
          <w:b/>
          <w:bCs/>
          <w:i/>
          <w:iCs/>
          <w:lang w:val="en-GB"/>
        </w:rPr>
        <w:t xml:space="preserve">A. Independence </w:t>
      </w:r>
    </w:p>
    <w:p w:rsidR="001B7CA2" w:rsidRPr="00DE39B5" w:rsidRDefault="001B7CA2" w:rsidP="0053056D">
      <w:pPr>
        <w:spacing w:line="240" w:lineRule="auto"/>
        <w:jc w:val="both"/>
        <w:rPr>
          <w:lang w:val="en-GB"/>
        </w:rPr>
      </w:pPr>
      <w:r w:rsidRPr="00DE39B5">
        <w:rPr>
          <w:i/>
          <w:iCs/>
          <w:lang w:val="en-GB"/>
        </w:rPr>
        <w:t xml:space="preserve">1. Appointment and selection of judges, prosecutors and court presidents </w:t>
      </w:r>
    </w:p>
    <w:p w:rsidR="001B7CA2" w:rsidRPr="00DE39B5" w:rsidRDefault="001B7CA2" w:rsidP="0053056D">
      <w:pPr>
        <w:spacing w:line="240" w:lineRule="auto"/>
        <w:jc w:val="both"/>
        <w:rPr>
          <w:lang w:val="en-GB"/>
        </w:rPr>
      </w:pPr>
      <w:r w:rsidRPr="00DE39B5">
        <w:rPr>
          <w:i/>
          <w:iCs/>
          <w:lang w:val="en-GB"/>
        </w:rPr>
        <w:t xml:space="preserve">2. Irremovability of judges; including transfers, dismissal and retirement regime of judges, court presidents and prosecutors </w:t>
      </w:r>
    </w:p>
    <w:p w:rsidR="001B7CA2" w:rsidRPr="00DE39B5" w:rsidRDefault="001B7CA2" w:rsidP="0053056D">
      <w:pPr>
        <w:spacing w:line="240" w:lineRule="auto"/>
        <w:jc w:val="both"/>
        <w:rPr>
          <w:lang w:val="en-GB"/>
        </w:rPr>
      </w:pPr>
      <w:r w:rsidRPr="00DE39B5">
        <w:rPr>
          <w:i/>
          <w:iCs/>
          <w:lang w:val="en-GB"/>
        </w:rPr>
        <w:t xml:space="preserve">3. Promotion of judges and prosecutors </w:t>
      </w:r>
    </w:p>
    <w:p w:rsidR="001B7CA2" w:rsidRPr="00DE39B5" w:rsidRDefault="001B7CA2" w:rsidP="0053056D">
      <w:pPr>
        <w:spacing w:line="240" w:lineRule="auto"/>
        <w:jc w:val="both"/>
        <w:rPr>
          <w:lang w:val="en-GB"/>
        </w:rPr>
      </w:pPr>
      <w:r w:rsidRPr="00DE39B5">
        <w:rPr>
          <w:i/>
          <w:iCs/>
          <w:lang w:val="en-GB"/>
        </w:rPr>
        <w:t xml:space="preserve">4. Allocation of cases in courts </w:t>
      </w:r>
    </w:p>
    <w:p w:rsidR="001B7CA2" w:rsidRPr="00DE39B5" w:rsidRDefault="001B7CA2" w:rsidP="0053056D">
      <w:pPr>
        <w:spacing w:line="240" w:lineRule="auto"/>
        <w:jc w:val="both"/>
        <w:rPr>
          <w:lang w:val="en-GB"/>
        </w:rPr>
      </w:pPr>
      <w:r w:rsidRPr="00DE39B5">
        <w:rPr>
          <w:i/>
          <w:iCs/>
          <w:lang w:val="en-GB"/>
        </w:rPr>
        <w:t xml:space="preserve">5. Independence (including composition and nomination of its members), and powers of the body tasked with safeguarding the independence of the judiciary (e.g. Council for the Judiciary) </w:t>
      </w:r>
    </w:p>
    <w:p w:rsidR="00E43B0F" w:rsidRPr="00E43B0F" w:rsidRDefault="001B7CA2" w:rsidP="0053056D">
      <w:pPr>
        <w:spacing w:line="240" w:lineRule="auto"/>
        <w:jc w:val="both"/>
        <w:rPr>
          <w:i/>
          <w:iCs/>
          <w:lang w:val="en-GB"/>
        </w:rPr>
      </w:pPr>
      <w:r w:rsidRPr="00DE39B5">
        <w:rPr>
          <w:i/>
          <w:iCs/>
          <w:lang w:val="en-GB"/>
        </w:rPr>
        <w:t xml:space="preserve">6. Accountability of judges and prosecutors, including disciplinary regime and bodies and ethical rules, judicial immunity and criminal liability of judges. </w:t>
      </w:r>
    </w:p>
    <w:p w:rsidR="001B7CA2" w:rsidRPr="00DE39B5" w:rsidRDefault="001B7CA2" w:rsidP="0053056D">
      <w:pPr>
        <w:spacing w:line="240" w:lineRule="auto"/>
        <w:jc w:val="both"/>
        <w:rPr>
          <w:lang w:val="en-GB"/>
        </w:rPr>
      </w:pPr>
      <w:r w:rsidRPr="00DE39B5">
        <w:rPr>
          <w:i/>
          <w:iCs/>
          <w:lang w:val="en-GB"/>
        </w:rPr>
        <w:t xml:space="preserve">7. Remuneration/bonuses for judges and prosecutors </w:t>
      </w:r>
    </w:p>
    <w:p w:rsidR="001B7CA2" w:rsidRPr="00DE39B5" w:rsidRDefault="001B7CA2" w:rsidP="0053056D">
      <w:pPr>
        <w:spacing w:line="240" w:lineRule="auto"/>
        <w:jc w:val="both"/>
        <w:rPr>
          <w:lang w:val="en-GB"/>
        </w:rPr>
      </w:pPr>
      <w:r w:rsidRPr="00DE39B5">
        <w:rPr>
          <w:i/>
          <w:iCs/>
          <w:lang w:val="en-GB"/>
        </w:rPr>
        <w:t xml:space="preserve">8. Independence/autonomy of the prosecution service </w:t>
      </w:r>
    </w:p>
    <w:p w:rsidR="001B7CA2" w:rsidRPr="00DE39B5" w:rsidRDefault="001B7CA2" w:rsidP="0053056D">
      <w:pPr>
        <w:spacing w:line="240" w:lineRule="auto"/>
        <w:jc w:val="both"/>
        <w:rPr>
          <w:lang w:val="en-GB"/>
        </w:rPr>
      </w:pPr>
      <w:r w:rsidRPr="00DE39B5">
        <w:rPr>
          <w:i/>
          <w:iCs/>
          <w:lang w:val="en-GB"/>
        </w:rPr>
        <w:t xml:space="preserve">9. Independence of the Bar (chamber/association of lawyers) and of lawyers </w:t>
      </w:r>
    </w:p>
    <w:p w:rsidR="001B7CA2" w:rsidRDefault="001B7CA2" w:rsidP="0053056D">
      <w:pPr>
        <w:spacing w:line="240" w:lineRule="auto"/>
        <w:jc w:val="both"/>
        <w:rPr>
          <w:i/>
          <w:iCs/>
          <w:lang w:val="en-GB"/>
        </w:rPr>
      </w:pPr>
      <w:r w:rsidRPr="00DE39B5">
        <w:rPr>
          <w:i/>
          <w:iCs/>
          <w:lang w:val="en-GB"/>
        </w:rPr>
        <w:t xml:space="preserve">10. Significant developments capable of affecting the perception that the general public has of the independence of the judiciary </w:t>
      </w:r>
    </w:p>
    <w:p w:rsidR="001B7CA2" w:rsidRPr="00DE39B5" w:rsidRDefault="001B7CA2" w:rsidP="0053056D">
      <w:pPr>
        <w:spacing w:line="240" w:lineRule="auto"/>
        <w:jc w:val="both"/>
        <w:rPr>
          <w:lang w:val="en-GB"/>
        </w:rPr>
      </w:pPr>
      <w:r w:rsidRPr="00DE39B5">
        <w:rPr>
          <w:b/>
          <w:bCs/>
          <w:i/>
          <w:iCs/>
          <w:lang w:val="en-GB"/>
        </w:rPr>
        <w:t xml:space="preserve">B. Quality of justice </w:t>
      </w:r>
    </w:p>
    <w:p w:rsidR="001B7CA2" w:rsidRDefault="001B7CA2" w:rsidP="0053056D">
      <w:pPr>
        <w:spacing w:line="240" w:lineRule="auto"/>
        <w:jc w:val="both"/>
        <w:rPr>
          <w:i/>
          <w:iCs/>
          <w:lang w:val="en-GB"/>
        </w:rPr>
      </w:pPr>
      <w:r w:rsidRPr="00DE39B5">
        <w:rPr>
          <w:i/>
          <w:iCs/>
          <w:lang w:val="en-GB"/>
        </w:rPr>
        <w:t xml:space="preserve">11. Accessibility of courts (e.g. court fees, legal aid, language) </w:t>
      </w:r>
    </w:p>
    <w:p w:rsidR="00B86F06" w:rsidRPr="00B86F06" w:rsidRDefault="00704504" w:rsidP="00B86F06">
      <w:pPr>
        <w:pStyle w:val="NormalWeb"/>
        <w:jc w:val="both"/>
        <w:rPr>
          <w:rFonts w:ascii="Calibri" w:hAnsi="Calibri" w:cs="Calibri"/>
          <w:sz w:val="22"/>
          <w:szCs w:val="22"/>
          <w:lang w:val="en-GB"/>
        </w:rPr>
      </w:pPr>
      <w:r w:rsidRPr="00B86F06">
        <w:rPr>
          <w:rFonts w:ascii="Calibri" w:hAnsi="Calibri" w:cs="Calibri"/>
          <w:sz w:val="22"/>
          <w:szCs w:val="22"/>
          <w:lang w:val="en-GB"/>
        </w:rPr>
        <w:t xml:space="preserve">In 2020, the UN Human Rights Committee in its concluding observations expressed concern about </w:t>
      </w:r>
      <w:r w:rsidRPr="00B86F06">
        <w:rPr>
          <w:rFonts w:ascii="Calibri" w:eastAsiaTheme="minorHAnsi" w:hAnsi="Calibri" w:cs="Calibri"/>
          <w:sz w:val="22"/>
          <w:szCs w:val="22"/>
          <w:lang w:val="en-GB"/>
        </w:rPr>
        <w:t xml:space="preserve">reports that detainees, particularly foreigners, are not always promptly informed </w:t>
      </w:r>
      <w:r w:rsidR="00E374FC" w:rsidRPr="00B86F06">
        <w:rPr>
          <w:rFonts w:ascii="Calibri" w:eastAsiaTheme="minorHAnsi" w:hAnsi="Calibri" w:cs="Calibri"/>
          <w:sz w:val="22"/>
          <w:szCs w:val="22"/>
          <w:lang w:val="en-GB"/>
        </w:rPr>
        <w:t xml:space="preserve">of their rights </w:t>
      </w:r>
      <w:r w:rsidRPr="00B86F06">
        <w:rPr>
          <w:rFonts w:ascii="Calibri" w:eastAsiaTheme="minorHAnsi" w:hAnsi="Calibri" w:cs="Calibri"/>
          <w:sz w:val="22"/>
          <w:szCs w:val="22"/>
          <w:lang w:val="en-GB"/>
        </w:rPr>
        <w:t xml:space="preserve">in a language that they understand, including of their right to access legal counsel from the time of arrest. The Committee </w:t>
      </w:r>
      <w:r w:rsidR="00E374FC">
        <w:rPr>
          <w:rFonts w:ascii="Calibri" w:eastAsiaTheme="minorHAnsi" w:hAnsi="Calibri" w:cs="Calibri"/>
          <w:sz w:val="22"/>
          <w:szCs w:val="22"/>
          <w:lang w:val="en-GB"/>
        </w:rPr>
        <w:t>was</w:t>
      </w:r>
      <w:r w:rsidR="00E374FC" w:rsidRPr="00B86F06">
        <w:rPr>
          <w:rFonts w:ascii="Calibri" w:eastAsiaTheme="minorHAnsi" w:hAnsi="Calibri" w:cs="Calibri"/>
          <w:sz w:val="22"/>
          <w:szCs w:val="22"/>
          <w:lang w:val="en-GB"/>
        </w:rPr>
        <w:t xml:space="preserve"> </w:t>
      </w:r>
      <w:r w:rsidRPr="00B86F06">
        <w:rPr>
          <w:rFonts w:ascii="Calibri" w:eastAsiaTheme="minorHAnsi" w:hAnsi="Calibri" w:cs="Calibri"/>
          <w:sz w:val="22"/>
          <w:szCs w:val="22"/>
          <w:lang w:val="en-GB"/>
        </w:rPr>
        <w:t>also concerned about the lack of effective access to legal assistance for persons detained</w:t>
      </w:r>
      <w:r w:rsidR="003F110A">
        <w:rPr>
          <w:rFonts w:ascii="Calibri" w:eastAsiaTheme="minorHAnsi" w:hAnsi="Calibri" w:cs="Calibri"/>
          <w:sz w:val="22"/>
          <w:szCs w:val="22"/>
          <w:lang w:val="en-GB"/>
        </w:rPr>
        <w:t>, and</w:t>
      </w:r>
      <w:r w:rsidRPr="00B86F06">
        <w:rPr>
          <w:rFonts w:ascii="Calibri" w:hAnsi="Calibri" w:cs="Calibri"/>
          <w:sz w:val="22"/>
          <w:szCs w:val="22"/>
          <w:lang w:val="en-GB"/>
        </w:rPr>
        <w:t xml:space="preserve"> recommended </w:t>
      </w:r>
      <w:r w:rsidR="003F110A">
        <w:rPr>
          <w:rFonts w:ascii="Calibri" w:hAnsi="Calibri" w:cs="Calibri"/>
          <w:sz w:val="22"/>
          <w:szCs w:val="22"/>
          <w:lang w:val="en-GB"/>
        </w:rPr>
        <w:t>Portugal</w:t>
      </w:r>
      <w:r w:rsidRPr="00B86F06">
        <w:rPr>
          <w:rFonts w:ascii="Calibri" w:hAnsi="Calibri" w:cs="Calibri"/>
          <w:sz w:val="22"/>
          <w:szCs w:val="22"/>
          <w:lang w:val="en-GB"/>
        </w:rPr>
        <w:t xml:space="preserve"> to ensure those fundamental legal standards </w:t>
      </w:r>
      <w:r w:rsidR="008644A2">
        <w:rPr>
          <w:rFonts w:ascii="Calibri" w:hAnsi="Calibri" w:cs="Calibri"/>
          <w:sz w:val="22"/>
          <w:szCs w:val="22"/>
          <w:lang w:val="en-GB"/>
        </w:rPr>
        <w:t>(</w:t>
      </w:r>
      <w:hyperlink r:id="rId8" w:history="1">
        <w:r w:rsidRPr="00B86F06">
          <w:rPr>
            <w:rStyle w:val="Hyperlink"/>
            <w:rFonts w:ascii="Calibri" w:hAnsi="Calibri" w:cs="Calibri"/>
            <w:sz w:val="22"/>
            <w:szCs w:val="22"/>
            <w:lang w:val="en-GB"/>
          </w:rPr>
          <w:t>CCPR/C/PRT/CO/5</w:t>
        </w:r>
      </w:hyperlink>
      <w:r w:rsidRPr="00B86F06">
        <w:rPr>
          <w:rFonts w:ascii="Calibri" w:hAnsi="Calibri" w:cs="Calibri"/>
          <w:sz w:val="22"/>
          <w:szCs w:val="22"/>
          <w:lang w:val="en-GB"/>
        </w:rPr>
        <w:t>, para 38</w:t>
      </w:r>
      <w:r w:rsidR="00E374FC">
        <w:rPr>
          <w:rFonts w:ascii="Calibri" w:hAnsi="Calibri" w:cs="Calibri"/>
          <w:sz w:val="22"/>
          <w:szCs w:val="22"/>
          <w:lang w:val="en-GB"/>
        </w:rPr>
        <w:t>,</w:t>
      </w:r>
      <w:r w:rsidRPr="00B86F06">
        <w:rPr>
          <w:rFonts w:ascii="Calibri" w:hAnsi="Calibri" w:cs="Calibri"/>
          <w:sz w:val="22"/>
          <w:szCs w:val="22"/>
          <w:lang w:val="en-GB"/>
        </w:rPr>
        <w:t xml:space="preserve"> 39).</w:t>
      </w:r>
      <w:r w:rsidR="003F110A">
        <w:rPr>
          <w:rFonts w:ascii="Calibri" w:hAnsi="Calibri" w:cs="Calibri"/>
          <w:sz w:val="22"/>
          <w:szCs w:val="22"/>
          <w:lang w:val="en-GB"/>
        </w:rPr>
        <w:t xml:space="preserve"> These echoed similar concerns expressed i</w:t>
      </w:r>
      <w:r w:rsidR="008644A2">
        <w:rPr>
          <w:rFonts w:ascii="Calibri" w:eastAsiaTheme="minorHAnsi" w:hAnsi="Calibri" w:cs="Calibri"/>
          <w:sz w:val="22"/>
          <w:szCs w:val="22"/>
          <w:lang w:val="en-GB"/>
        </w:rPr>
        <w:t>n the</w:t>
      </w:r>
      <w:r w:rsidRPr="00B86F06">
        <w:rPr>
          <w:rFonts w:ascii="Calibri" w:eastAsiaTheme="minorHAnsi" w:hAnsi="Calibri" w:cs="Calibri"/>
          <w:sz w:val="22"/>
          <w:szCs w:val="22"/>
          <w:lang w:val="en-GB"/>
        </w:rPr>
        <w:t xml:space="preserve"> 2019 concluding observations</w:t>
      </w:r>
      <w:r w:rsidR="003F110A">
        <w:rPr>
          <w:rFonts w:ascii="Calibri" w:eastAsiaTheme="minorHAnsi" w:hAnsi="Calibri" w:cs="Calibri"/>
          <w:sz w:val="22"/>
          <w:szCs w:val="22"/>
          <w:lang w:val="en-GB"/>
        </w:rPr>
        <w:t xml:space="preserve"> by</w:t>
      </w:r>
      <w:r w:rsidRPr="00B86F06">
        <w:rPr>
          <w:rFonts w:ascii="Calibri" w:eastAsiaTheme="minorHAnsi" w:hAnsi="Calibri" w:cs="Calibri"/>
          <w:sz w:val="22"/>
          <w:szCs w:val="22"/>
          <w:lang w:val="en-GB"/>
        </w:rPr>
        <w:t xml:space="preserve"> the UN Committee against Torture</w:t>
      </w:r>
      <w:r w:rsidR="003F110A">
        <w:rPr>
          <w:rFonts w:ascii="Calibri" w:eastAsiaTheme="minorHAnsi" w:hAnsi="Calibri" w:cs="Calibri"/>
          <w:sz w:val="22"/>
          <w:szCs w:val="22"/>
          <w:lang w:val="en-GB"/>
        </w:rPr>
        <w:t>, which had</w:t>
      </w:r>
      <w:r w:rsidRPr="00B86F06">
        <w:rPr>
          <w:rFonts w:ascii="Calibri" w:eastAsiaTheme="minorHAnsi" w:hAnsi="Calibri" w:cs="Calibri"/>
          <w:sz w:val="22"/>
          <w:szCs w:val="22"/>
          <w:lang w:val="en-GB"/>
        </w:rPr>
        <w:t xml:space="preserve"> recommended Portugal to ensure that all </w:t>
      </w:r>
      <w:r w:rsidR="003F110A" w:rsidRPr="00B86F06">
        <w:rPr>
          <w:rFonts w:ascii="Calibri" w:eastAsiaTheme="minorHAnsi" w:hAnsi="Calibri" w:cs="Calibri"/>
          <w:sz w:val="22"/>
          <w:szCs w:val="22"/>
          <w:lang w:val="en-GB"/>
        </w:rPr>
        <w:t xml:space="preserve">arrested or detained </w:t>
      </w:r>
      <w:r w:rsidRPr="00B86F06">
        <w:rPr>
          <w:rFonts w:ascii="Calibri" w:eastAsiaTheme="minorHAnsi" w:hAnsi="Calibri" w:cs="Calibri"/>
          <w:sz w:val="22"/>
          <w:szCs w:val="22"/>
          <w:lang w:val="en-GB"/>
        </w:rPr>
        <w:t>persons are afforded in practice all fundamental safeguards from the very outset of their deprivation of liberty, including the rights to be assisted by a lawyer and to be brought before a judge without delay</w:t>
      </w:r>
      <w:r w:rsidR="008644A2">
        <w:rPr>
          <w:rFonts w:ascii="Calibri" w:eastAsiaTheme="minorHAnsi" w:hAnsi="Calibri" w:cs="Calibri"/>
          <w:sz w:val="22"/>
          <w:szCs w:val="22"/>
          <w:lang w:val="en-GB"/>
        </w:rPr>
        <w:t xml:space="preserve"> (</w:t>
      </w:r>
      <w:hyperlink r:id="rId9" w:history="1">
        <w:r w:rsidRPr="00B86F06">
          <w:rPr>
            <w:rStyle w:val="Hyperlink"/>
            <w:rFonts w:ascii="Calibri" w:eastAsiaTheme="minorHAnsi" w:hAnsi="Calibri" w:cs="Calibri"/>
            <w:sz w:val="22"/>
            <w:szCs w:val="22"/>
            <w:lang w:val="en-GB"/>
          </w:rPr>
          <w:t>CAT/C/PRT/CO/7</w:t>
        </w:r>
      </w:hyperlink>
      <w:r w:rsidRPr="00B86F06">
        <w:rPr>
          <w:rFonts w:ascii="Calibri" w:eastAsiaTheme="minorHAnsi" w:hAnsi="Calibri" w:cs="Calibri"/>
          <w:sz w:val="22"/>
          <w:szCs w:val="22"/>
          <w:lang w:val="en-GB"/>
        </w:rPr>
        <w:t xml:space="preserve">, para 13, 14). </w:t>
      </w:r>
      <w:r w:rsidR="003F110A">
        <w:rPr>
          <w:rFonts w:ascii="Calibri" w:eastAsiaTheme="minorHAnsi" w:hAnsi="Calibri" w:cs="Calibri"/>
          <w:sz w:val="22"/>
          <w:szCs w:val="22"/>
          <w:lang w:val="en-GB"/>
        </w:rPr>
        <w:t>The</w:t>
      </w:r>
      <w:r w:rsidRPr="00B86F06">
        <w:rPr>
          <w:rFonts w:ascii="Calibri" w:eastAsiaTheme="minorHAnsi" w:hAnsi="Calibri" w:cs="Calibri"/>
          <w:sz w:val="22"/>
          <w:szCs w:val="22"/>
          <w:lang w:val="en-GB"/>
        </w:rPr>
        <w:t xml:space="preserve"> UN </w:t>
      </w:r>
      <w:r w:rsidRPr="00B86F06">
        <w:rPr>
          <w:rFonts w:ascii="Calibri" w:hAnsi="Calibri" w:cs="Calibri"/>
          <w:sz w:val="22"/>
          <w:szCs w:val="22"/>
          <w:lang w:val="en-GB"/>
        </w:rPr>
        <w:t>Subcommittee on Prevention of Torture and Other Cruel, Inhuman or Degrading Treatment or Punishment</w:t>
      </w:r>
      <w:r w:rsidR="003F110A">
        <w:rPr>
          <w:rFonts w:ascii="Calibri" w:hAnsi="Calibri" w:cs="Calibri"/>
          <w:sz w:val="22"/>
          <w:szCs w:val="22"/>
          <w:lang w:val="en-GB"/>
        </w:rPr>
        <w:t xml:space="preserve"> had formulated similar recommendations after </w:t>
      </w:r>
      <w:r w:rsidRPr="00B86F06">
        <w:rPr>
          <w:rFonts w:ascii="Calibri" w:hAnsi="Calibri" w:cs="Calibri"/>
          <w:sz w:val="22"/>
          <w:szCs w:val="22"/>
          <w:lang w:val="en-GB"/>
        </w:rPr>
        <w:t>its</w:t>
      </w:r>
      <w:r w:rsidR="003F110A">
        <w:rPr>
          <w:rFonts w:ascii="Calibri" w:hAnsi="Calibri" w:cs="Calibri"/>
          <w:sz w:val="22"/>
          <w:szCs w:val="22"/>
          <w:lang w:val="en-GB"/>
        </w:rPr>
        <w:t xml:space="preserve"> 2018</w:t>
      </w:r>
      <w:r w:rsidRPr="00B86F06">
        <w:rPr>
          <w:rFonts w:ascii="Calibri" w:hAnsi="Calibri" w:cs="Calibri"/>
          <w:sz w:val="22"/>
          <w:szCs w:val="22"/>
          <w:lang w:val="en-GB"/>
        </w:rPr>
        <w:t xml:space="preserve"> visit to Portugal</w:t>
      </w:r>
      <w:r w:rsidR="008644A2">
        <w:rPr>
          <w:rFonts w:ascii="Calibri" w:hAnsi="Calibri" w:cs="Calibri"/>
          <w:sz w:val="22"/>
          <w:szCs w:val="22"/>
          <w:lang w:val="en-GB"/>
        </w:rPr>
        <w:t xml:space="preserve"> in its report (</w:t>
      </w:r>
      <w:hyperlink r:id="rId10" w:history="1">
        <w:r w:rsidRPr="00B86F06">
          <w:rPr>
            <w:rStyle w:val="Hyperlink"/>
            <w:rFonts w:ascii="Calibri" w:hAnsi="Calibri" w:cs="Calibri"/>
            <w:sz w:val="22"/>
            <w:szCs w:val="22"/>
            <w:lang w:val="en-GB"/>
          </w:rPr>
          <w:t>CAT/OP/PRT/1</w:t>
        </w:r>
      </w:hyperlink>
      <w:r w:rsidRPr="00B86F06">
        <w:rPr>
          <w:rFonts w:ascii="Calibri" w:hAnsi="Calibri" w:cs="Calibri"/>
          <w:sz w:val="22"/>
          <w:szCs w:val="22"/>
          <w:lang w:val="en-GB"/>
        </w:rPr>
        <w:t xml:space="preserve">, para 62, 63, 64).   </w:t>
      </w:r>
    </w:p>
    <w:p w:rsidR="001B7CA2" w:rsidRDefault="001B7CA2" w:rsidP="0053056D">
      <w:pPr>
        <w:spacing w:line="240" w:lineRule="auto"/>
        <w:jc w:val="both"/>
        <w:rPr>
          <w:i/>
          <w:iCs/>
          <w:lang w:val="en-GB"/>
        </w:rPr>
      </w:pPr>
      <w:r w:rsidRPr="00DE39B5">
        <w:rPr>
          <w:i/>
          <w:iCs/>
          <w:lang w:val="en-GB"/>
        </w:rPr>
        <w:t xml:space="preserve">12. Resources of the judiciary (human/financial/material) </w:t>
      </w:r>
    </w:p>
    <w:p w:rsidR="00C177A8" w:rsidRPr="00F71D03" w:rsidRDefault="008644A2" w:rsidP="008644A2">
      <w:pPr>
        <w:pStyle w:val="Default"/>
        <w:autoSpaceDE/>
        <w:adjustRightInd/>
        <w:jc w:val="both"/>
        <w:rPr>
          <w:rFonts w:asciiTheme="minorHAnsi" w:hAnsiTheme="minorHAnsi" w:cstheme="minorHAnsi"/>
          <w:sz w:val="22"/>
          <w:szCs w:val="22"/>
        </w:rPr>
      </w:pPr>
      <w:r w:rsidRPr="00F71D03">
        <w:rPr>
          <w:rFonts w:asciiTheme="minorHAnsi" w:hAnsiTheme="minorHAnsi" w:cstheme="minorHAnsi"/>
          <w:sz w:val="22"/>
          <w:szCs w:val="22"/>
        </w:rPr>
        <w:t>In 2019</w:t>
      </w:r>
      <w:r w:rsidR="0047537D">
        <w:rPr>
          <w:rFonts w:asciiTheme="minorHAnsi" w:hAnsiTheme="minorHAnsi" w:cstheme="minorHAnsi"/>
          <w:sz w:val="22"/>
          <w:szCs w:val="22"/>
        </w:rPr>
        <w:t>,</w:t>
      </w:r>
      <w:r w:rsidRPr="00F71D03">
        <w:rPr>
          <w:rFonts w:asciiTheme="minorHAnsi" w:hAnsiTheme="minorHAnsi" w:cstheme="minorHAnsi"/>
          <w:sz w:val="22"/>
          <w:szCs w:val="22"/>
        </w:rPr>
        <w:t xml:space="preserve"> </w:t>
      </w:r>
      <w:r w:rsidR="0047537D">
        <w:rPr>
          <w:rFonts w:asciiTheme="minorHAnsi" w:hAnsiTheme="minorHAnsi" w:cstheme="minorHAnsi"/>
          <w:sz w:val="22"/>
          <w:szCs w:val="22"/>
        </w:rPr>
        <w:t>t</w:t>
      </w:r>
      <w:r w:rsidRPr="00F71D03">
        <w:rPr>
          <w:rFonts w:asciiTheme="minorHAnsi" w:hAnsiTheme="minorHAnsi" w:cstheme="minorHAnsi"/>
          <w:sz w:val="22"/>
          <w:szCs w:val="22"/>
        </w:rPr>
        <w:t xml:space="preserve">he UN High Commissioner for Human Rights in her letter </w:t>
      </w:r>
      <w:r w:rsidR="0047537D">
        <w:rPr>
          <w:rFonts w:asciiTheme="minorHAnsi" w:hAnsiTheme="minorHAnsi" w:cstheme="minorHAnsi"/>
          <w:sz w:val="22"/>
          <w:szCs w:val="22"/>
        </w:rPr>
        <w:t xml:space="preserve">following the third cycle of </w:t>
      </w:r>
      <w:r w:rsidR="005679E1">
        <w:rPr>
          <w:rFonts w:asciiTheme="minorHAnsi" w:hAnsiTheme="minorHAnsi" w:cstheme="minorHAnsi"/>
          <w:sz w:val="22"/>
          <w:szCs w:val="22"/>
        </w:rPr>
        <w:t>Universal Periodic Review</w:t>
      </w:r>
      <w:r w:rsidR="005679E1">
        <w:rPr>
          <w:rFonts w:asciiTheme="minorHAnsi" w:hAnsiTheme="minorHAnsi" w:cstheme="minorHAnsi"/>
          <w:sz w:val="22"/>
          <w:szCs w:val="22"/>
        </w:rPr>
        <w:t xml:space="preserve"> </w:t>
      </w:r>
      <w:r w:rsidR="0047537D">
        <w:rPr>
          <w:rFonts w:asciiTheme="minorHAnsi" w:hAnsiTheme="minorHAnsi" w:cstheme="minorHAnsi"/>
          <w:sz w:val="22"/>
          <w:szCs w:val="22"/>
        </w:rPr>
        <w:t xml:space="preserve">of Portugal </w:t>
      </w:r>
      <w:r w:rsidR="00F71D03" w:rsidRPr="00F71D03">
        <w:rPr>
          <w:rFonts w:asciiTheme="minorHAnsi" w:hAnsiTheme="minorHAnsi" w:cstheme="minorHAnsi"/>
          <w:sz w:val="22"/>
          <w:szCs w:val="22"/>
        </w:rPr>
        <w:t>recommended that Portugal continue</w:t>
      </w:r>
      <w:r w:rsidR="00C177A8" w:rsidRPr="00F71D03">
        <w:rPr>
          <w:rFonts w:asciiTheme="minorHAnsi" w:hAnsiTheme="minorHAnsi" w:cstheme="minorHAnsi"/>
          <w:sz w:val="22"/>
          <w:szCs w:val="22"/>
        </w:rPr>
        <w:t xml:space="preserve"> efforts to improve women’s professional empowerment by increasing </w:t>
      </w:r>
      <w:r w:rsidR="00C177A8" w:rsidRPr="00F71D03">
        <w:rPr>
          <w:rFonts w:asciiTheme="minorHAnsi" w:hAnsiTheme="minorHAnsi" w:cstheme="minorHAnsi"/>
          <w:bCs/>
          <w:sz w:val="22"/>
          <w:szCs w:val="22"/>
        </w:rPr>
        <w:t>the representation of women the Supreme Court of Justice</w:t>
      </w:r>
      <w:r w:rsidR="00F71D03" w:rsidRPr="00F71D03">
        <w:rPr>
          <w:rFonts w:asciiTheme="minorHAnsi" w:hAnsiTheme="minorHAnsi" w:cstheme="minorHAnsi"/>
          <w:sz w:val="22"/>
          <w:szCs w:val="22"/>
        </w:rPr>
        <w:t>, available at</w:t>
      </w:r>
      <w:r w:rsidR="0047537D" w:rsidRPr="0047537D">
        <w:t xml:space="preserve"> </w:t>
      </w:r>
      <w:hyperlink r:id="rId11" w:history="1">
        <w:r w:rsidR="005679E1" w:rsidRPr="002739F0">
          <w:rPr>
            <w:rStyle w:val="Hyperlink"/>
            <w:rFonts w:asciiTheme="minorHAnsi" w:hAnsiTheme="minorHAnsi" w:cstheme="minorHAnsi"/>
            <w:sz w:val="22"/>
            <w:szCs w:val="22"/>
          </w:rPr>
          <w:t>https://lib.ohchr.org/HRBodies/UPR/Documents/Session33/PT/HC_letter_33rdSession_Portugal.pdf</w:t>
        </w:r>
      </w:hyperlink>
      <w:r w:rsidR="005679E1">
        <w:rPr>
          <w:rFonts w:asciiTheme="minorHAnsi" w:hAnsiTheme="minorHAnsi" w:cstheme="minorHAnsi"/>
          <w:sz w:val="22"/>
          <w:szCs w:val="22"/>
        </w:rPr>
        <w:t xml:space="preserve"> </w:t>
      </w:r>
      <w:r w:rsidR="0047537D">
        <w:rPr>
          <w:rFonts w:asciiTheme="minorHAnsi" w:hAnsiTheme="minorHAnsi" w:cstheme="minorHAnsi"/>
          <w:sz w:val="22"/>
          <w:szCs w:val="22"/>
        </w:rPr>
        <w:t xml:space="preserve"> </w:t>
      </w:r>
      <w:r w:rsidR="00F71D03" w:rsidRPr="00F71D03">
        <w:rPr>
          <w:rFonts w:asciiTheme="minorHAnsi" w:hAnsiTheme="minorHAnsi" w:cstheme="minorHAnsi"/>
          <w:sz w:val="22"/>
          <w:szCs w:val="22"/>
        </w:rPr>
        <w:t xml:space="preserve"> </w:t>
      </w:r>
    </w:p>
    <w:p w:rsidR="00C177A8" w:rsidRPr="00DE39B5" w:rsidRDefault="00C177A8" w:rsidP="0053056D">
      <w:pPr>
        <w:spacing w:line="240" w:lineRule="auto"/>
        <w:jc w:val="both"/>
        <w:rPr>
          <w:lang w:val="en-GB"/>
        </w:rPr>
      </w:pPr>
    </w:p>
    <w:p w:rsidR="001B7CA2" w:rsidRDefault="001B7CA2" w:rsidP="0053056D">
      <w:pPr>
        <w:spacing w:line="240" w:lineRule="auto"/>
        <w:jc w:val="both"/>
        <w:rPr>
          <w:i/>
          <w:iCs/>
          <w:lang w:val="en-GB"/>
        </w:rPr>
      </w:pPr>
      <w:r w:rsidRPr="00DE39B5">
        <w:rPr>
          <w:i/>
          <w:iCs/>
          <w:lang w:val="en-GB"/>
        </w:rPr>
        <w:t xml:space="preserve">13. Training of justice professionals (including judges, prosecutors, lawyers, court staff) </w:t>
      </w:r>
    </w:p>
    <w:p w:rsidR="00704504" w:rsidRDefault="00704504" w:rsidP="00704504">
      <w:pPr>
        <w:spacing w:line="240" w:lineRule="auto"/>
        <w:jc w:val="both"/>
        <w:rPr>
          <w:rFonts w:ascii="Calibri" w:hAnsi="Calibri" w:cs="Calibri"/>
          <w:lang w:val="en-GB"/>
        </w:rPr>
      </w:pPr>
      <w:r>
        <w:rPr>
          <w:rFonts w:ascii="Calibri" w:hAnsi="Calibri" w:cs="Calibri"/>
          <w:lang w:val="en-GB"/>
        </w:rPr>
        <w:t xml:space="preserve">Regarding the International Convention of the Rights of the Child, the UN Committee on </w:t>
      </w:r>
      <w:r w:rsidRPr="004531D4">
        <w:rPr>
          <w:rFonts w:ascii="Calibri" w:hAnsi="Calibri" w:cs="Calibri"/>
          <w:lang w:val="en-GB"/>
        </w:rPr>
        <w:t>the Rights of the Child</w:t>
      </w:r>
      <w:r>
        <w:rPr>
          <w:rFonts w:ascii="Calibri" w:hAnsi="Calibri" w:cs="Calibri"/>
          <w:lang w:val="en-GB"/>
        </w:rPr>
        <w:t xml:space="preserve">, in its 2019 observations, recommended to </w:t>
      </w:r>
      <w:r w:rsidRPr="004531D4">
        <w:rPr>
          <w:rFonts w:ascii="Calibri" w:hAnsi="Calibri" w:cs="Calibri"/>
          <w:lang w:val="en-GB"/>
        </w:rPr>
        <w:t>introduce mandatory training for judges who are to enter family and juvenile courts</w:t>
      </w:r>
      <w:r>
        <w:rPr>
          <w:rFonts w:ascii="Calibri" w:hAnsi="Calibri" w:cs="Calibri"/>
          <w:lang w:val="en-GB"/>
        </w:rPr>
        <w:t xml:space="preserve">. The Committee further recommended to ensure training on </w:t>
      </w:r>
      <w:r w:rsidRPr="004531D4">
        <w:rPr>
          <w:rFonts w:ascii="Calibri" w:hAnsi="Calibri" w:cs="Calibri"/>
          <w:lang w:val="en-GB"/>
        </w:rPr>
        <w:t>hearing and considering children’s views in all decisions affecting them</w:t>
      </w:r>
      <w:r>
        <w:rPr>
          <w:rFonts w:ascii="Calibri" w:hAnsi="Calibri" w:cs="Calibri"/>
          <w:lang w:val="en-GB"/>
        </w:rPr>
        <w:t xml:space="preserve">. </w:t>
      </w:r>
      <w:r w:rsidRPr="004531D4">
        <w:rPr>
          <w:rFonts w:ascii="Calibri" w:hAnsi="Calibri" w:cs="Calibri"/>
          <w:lang w:val="en-GB"/>
        </w:rPr>
        <w:t xml:space="preserve">In the context of sale, trafficking and abduction of children, the Committee </w:t>
      </w:r>
      <w:r w:rsidR="000D35DC">
        <w:rPr>
          <w:rFonts w:ascii="Calibri" w:hAnsi="Calibri" w:cs="Calibri"/>
          <w:lang w:val="en-GB"/>
        </w:rPr>
        <w:t xml:space="preserve">also </w:t>
      </w:r>
      <w:r w:rsidRPr="004531D4">
        <w:rPr>
          <w:rFonts w:ascii="Calibri" w:hAnsi="Calibri" w:cs="Calibri"/>
          <w:lang w:val="en-GB"/>
        </w:rPr>
        <w:t xml:space="preserve">recommended Portugal to adequately train professionals on </w:t>
      </w:r>
      <w:r>
        <w:rPr>
          <w:rFonts w:ascii="Calibri" w:hAnsi="Calibri" w:cs="Calibri"/>
          <w:lang w:val="en-GB"/>
        </w:rPr>
        <w:t>the</w:t>
      </w:r>
      <w:r w:rsidRPr="004531D4">
        <w:rPr>
          <w:rFonts w:ascii="Calibri" w:hAnsi="Calibri" w:cs="Calibri"/>
          <w:lang w:val="en-GB"/>
        </w:rPr>
        <w:t xml:space="preserve"> procedures</w:t>
      </w:r>
      <w:r>
        <w:rPr>
          <w:rFonts w:ascii="Calibri" w:hAnsi="Calibri" w:cs="Calibri"/>
          <w:lang w:val="en-GB"/>
        </w:rPr>
        <w:t xml:space="preserve"> </w:t>
      </w:r>
      <w:r w:rsidRPr="004531D4">
        <w:rPr>
          <w:rFonts w:ascii="Calibri" w:hAnsi="Calibri" w:cs="Calibri"/>
          <w:lang w:val="en-GB"/>
        </w:rPr>
        <w:t>for the identification and care of child victims of sale, sex trafficking and forced labour to ensure that victims receive the support they are</w:t>
      </w:r>
      <w:r w:rsidR="008644A2">
        <w:rPr>
          <w:rFonts w:ascii="Calibri" w:hAnsi="Calibri" w:cs="Calibri"/>
          <w:lang w:val="en-GB"/>
        </w:rPr>
        <w:t xml:space="preserve"> entitled to under the law (</w:t>
      </w:r>
      <w:hyperlink r:id="rId12" w:history="1">
        <w:r w:rsidRPr="004531D4">
          <w:rPr>
            <w:rStyle w:val="Hyperlink"/>
            <w:rFonts w:ascii="Calibri" w:hAnsi="Calibri" w:cs="Calibri"/>
            <w:lang w:val="en-GB"/>
          </w:rPr>
          <w:t>CRC/C/PRT/CO/5-6</w:t>
        </w:r>
      </w:hyperlink>
      <w:r w:rsidRPr="004531D4">
        <w:rPr>
          <w:rFonts w:ascii="Calibri" w:hAnsi="Calibri" w:cs="Calibri"/>
          <w:lang w:val="en-GB"/>
        </w:rPr>
        <w:t>, para</w:t>
      </w:r>
      <w:r w:rsidR="000D35DC">
        <w:rPr>
          <w:rFonts w:ascii="Calibri" w:hAnsi="Calibri" w:cs="Calibri"/>
          <w:lang w:val="en-GB"/>
        </w:rPr>
        <w:t xml:space="preserve"> 13, 20c,</w:t>
      </w:r>
      <w:r w:rsidRPr="004531D4">
        <w:rPr>
          <w:rFonts w:ascii="Calibri" w:hAnsi="Calibri" w:cs="Calibri"/>
          <w:lang w:val="en-GB"/>
        </w:rPr>
        <w:t xml:space="preserve"> 43).</w:t>
      </w:r>
      <w:r>
        <w:rPr>
          <w:rFonts w:ascii="Calibri" w:hAnsi="Calibri" w:cs="Calibri"/>
          <w:lang w:val="en-GB"/>
        </w:rPr>
        <w:t xml:space="preserve"> </w:t>
      </w:r>
    </w:p>
    <w:p w:rsidR="00704504" w:rsidRDefault="00704504" w:rsidP="00704504">
      <w:pPr>
        <w:spacing w:line="240" w:lineRule="auto"/>
        <w:jc w:val="both"/>
        <w:rPr>
          <w:rFonts w:ascii="Calibri" w:hAnsi="Calibri" w:cs="Calibri"/>
          <w:lang w:val="en-GB"/>
        </w:rPr>
      </w:pPr>
      <w:r>
        <w:rPr>
          <w:rFonts w:ascii="Calibri" w:hAnsi="Calibri" w:cs="Calibri"/>
          <w:lang w:val="en-GB"/>
        </w:rPr>
        <w:t xml:space="preserve">In its 2018 concluding observations, the UN </w:t>
      </w:r>
      <w:r w:rsidRPr="004531D4">
        <w:rPr>
          <w:rFonts w:ascii="Calibri" w:hAnsi="Calibri" w:cs="Calibri"/>
          <w:lang w:val="en-GB"/>
        </w:rPr>
        <w:t>Committee on Enforced Disappearances noted the lack of information on the provision of training on international human rights law, including the International Convention for the Protection of All Persons from Enforced Disappearance</w:t>
      </w:r>
      <w:r>
        <w:rPr>
          <w:rFonts w:ascii="Calibri" w:hAnsi="Calibri" w:cs="Calibri"/>
          <w:lang w:val="en-GB"/>
        </w:rPr>
        <w:t xml:space="preserve">, and recommended to provide </w:t>
      </w:r>
      <w:r w:rsidRPr="004531D4">
        <w:rPr>
          <w:rFonts w:ascii="Calibri" w:hAnsi="Calibri" w:cs="Calibri"/>
          <w:lang w:val="en-GB"/>
        </w:rPr>
        <w:t>specific and regular training on the provisions of the Convention</w:t>
      </w:r>
      <w:r w:rsidR="008644A2">
        <w:rPr>
          <w:rFonts w:ascii="Calibri" w:hAnsi="Calibri" w:cs="Calibri"/>
          <w:lang w:val="en-GB"/>
        </w:rPr>
        <w:t xml:space="preserve"> (</w:t>
      </w:r>
      <w:hyperlink r:id="rId13" w:history="1">
        <w:r w:rsidRPr="004531D4">
          <w:rPr>
            <w:rStyle w:val="Hyperlink"/>
            <w:rFonts w:ascii="Calibri" w:hAnsi="Calibri" w:cs="Calibri"/>
            <w:lang w:val="en-GB"/>
          </w:rPr>
          <w:t>CED/C/PRT/CO/1</w:t>
        </w:r>
      </w:hyperlink>
      <w:r w:rsidRPr="004531D4">
        <w:rPr>
          <w:rFonts w:ascii="Calibri" w:hAnsi="Calibri" w:cs="Calibri"/>
          <w:lang w:val="en-GB"/>
        </w:rPr>
        <w:t>, para 22, 23).</w:t>
      </w:r>
    </w:p>
    <w:p w:rsidR="00704504" w:rsidRDefault="00704504" w:rsidP="00704504">
      <w:pPr>
        <w:spacing w:line="240" w:lineRule="auto"/>
        <w:jc w:val="both"/>
        <w:rPr>
          <w:rFonts w:ascii="Calibri" w:hAnsi="Calibri" w:cs="Calibri"/>
          <w:lang w:val="en-GB"/>
        </w:rPr>
      </w:pPr>
      <w:r>
        <w:rPr>
          <w:rFonts w:ascii="Calibri" w:hAnsi="Calibri" w:cs="Calibri"/>
          <w:lang w:val="en-GB"/>
        </w:rPr>
        <w:t xml:space="preserve">The UN Committee </w:t>
      </w:r>
      <w:r w:rsidRPr="004531D4">
        <w:rPr>
          <w:rFonts w:ascii="Calibri" w:hAnsi="Calibri" w:cs="Calibri"/>
          <w:lang w:val="en-GB"/>
        </w:rPr>
        <w:t>against Torture</w:t>
      </w:r>
      <w:r>
        <w:rPr>
          <w:rFonts w:ascii="Calibri" w:hAnsi="Calibri" w:cs="Calibri"/>
          <w:lang w:val="en-GB"/>
        </w:rPr>
        <w:t xml:space="preserve">, in its </w:t>
      </w:r>
      <w:r w:rsidRPr="004531D4">
        <w:rPr>
          <w:rFonts w:ascii="Calibri" w:hAnsi="Calibri" w:cs="Calibri"/>
          <w:lang w:val="en-GB"/>
        </w:rPr>
        <w:t>2019 concluding observations</w:t>
      </w:r>
      <w:r>
        <w:rPr>
          <w:rFonts w:ascii="Calibri" w:hAnsi="Calibri" w:cs="Calibri"/>
          <w:lang w:val="en-GB"/>
        </w:rPr>
        <w:t xml:space="preserve">, </w:t>
      </w:r>
      <w:r w:rsidRPr="004531D4">
        <w:rPr>
          <w:rFonts w:ascii="Calibri" w:hAnsi="Calibri" w:cs="Calibri"/>
          <w:lang w:val="en-GB"/>
        </w:rPr>
        <w:t xml:space="preserve">recommended Portugal to develop mandatory initial and in-service training programmes </w:t>
      </w:r>
      <w:r>
        <w:rPr>
          <w:rFonts w:ascii="Calibri" w:hAnsi="Calibri" w:cs="Calibri"/>
          <w:lang w:val="en-GB"/>
        </w:rPr>
        <w:t xml:space="preserve">on </w:t>
      </w:r>
      <w:r w:rsidRPr="004531D4">
        <w:rPr>
          <w:rFonts w:ascii="Calibri" w:hAnsi="Calibri" w:cs="Calibri"/>
          <w:lang w:val="en-GB"/>
        </w:rPr>
        <w:t>the Convention against Torture and Other Cruel, Inhuman or Degrading Treatment or Punishment</w:t>
      </w:r>
      <w:r>
        <w:rPr>
          <w:rFonts w:ascii="Calibri" w:hAnsi="Calibri" w:cs="Calibri"/>
          <w:lang w:val="en-GB"/>
        </w:rPr>
        <w:t xml:space="preserve">. </w:t>
      </w:r>
      <w:r w:rsidR="005857F9" w:rsidRPr="004531D4">
        <w:rPr>
          <w:rFonts w:ascii="Calibri" w:hAnsi="Calibri" w:cs="Calibri"/>
          <w:lang w:val="en-GB"/>
        </w:rPr>
        <w:t>The</w:t>
      </w:r>
      <w:r w:rsidRPr="004531D4">
        <w:rPr>
          <w:rFonts w:ascii="Calibri" w:hAnsi="Calibri" w:cs="Calibri"/>
          <w:lang w:val="en-GB"/>
        </w:rPr>
        <w:t xml:space="preserve"> Committee further recommended to expand specialized training programmes for both judges and prosecutors to ensure their ability to effectively identify torture and ill-treatment and investigate all allegations of such acts</w:t>
      </w:r>
      <w:r w:rsidR="008644A2">
        <w:rPr>
          <w:rFonts w:ascii="Calibri" w:hAnsi="Calibri" w:cs="Calibri"/>
          <w:lang w:val="en-GB"/>
        </w:rPr>
        <w:t xml:space="preserve"> (</w:t>
      </w:r>
      <w:hyperlink r:id="rId14" w:history="1">
        <w:r w:rsidRPr="004531D4">
          <w:rPr>
            <w:rStyle w:val="Hyperlink"/>
            <w:rFonts w:ascii="Calibri" w:hAnsi="Calibri" w:cs="Calibri"/>
            <w:lang w:val="en-GB"/>
          </w:rPr>
          <w:t>CAT/C/PRT/CO/7</w:t>
        </w:r>
      </w:hyperlink>
      <w:r w:rsidRPr="004531D4">
        <w:rPr>
          <w:rFonts w:ascii="Calibri" w:hAnsi="Calibri" w:cs="Calibri"/>
          <w:lang w:val="en-GB"/>
        </w:rPr>
        <w:t>, para 33, 34, 45, 46).</w:t>
      </w:r>
    </w:p>
    <w:p w:rsidR="00704504" w:rsidRDefault="00704504" w:rsidP="00704504">
      <w:pPr>
        <w:spacing w:after="0" w:line="240" w:lineRule="auto"/>
        <w:jc w:val="both"/>
        <w:rPr>
          <w:rFonts w:ascii="Calibri" w:hAnsi="Calibri" w:cs="Calibri"/>
          <w:lang w:val="en-GB"/>
        </w:rPr>
      </w:pPr>
      <w:r w:rsidRPr="0048545D">
        <w:rPr>
          <w:rFonts w:ascii="Calibri" w:hAnsi="Calibri" w:cs="Calibri"/>
          <w:lang w:val="en-GB"/>
        </w:rPr>
        <w:t xml:space="preserve">In its concluding observations from 2020, the UN Human Rights Committee issued several recommendations to Portugal with regards to training on the International Covenant on Civil and Political Rights. </w:t>
      </w:r>
      <w:r>
        <w:rPr>
          <w:rFonts w:ascii="Calibri" w:hAnsi="Calibri" w:cs="Calibri"/>
          <w:lang w:val="en-GB"/>
        </w:rPr>
        <w:t>Besides the general recommendation to educate</w:t>
      </w:r>
      <w:r w:rsidRPr="0048545D">
        <w:rPr>
          <w:rFonts w:ascii="Calibri" w:hAnsi="Calibri" w:cs="Calibri"/>
          <w:lang w:val="en-GB"/>
        </w:rPr>
        <w:t xml:space="preserve"> </w:t>
      </w:r>
      <w:r>
        <w:rPr>
          <w:rFonts w:ascii="Calibri" w:hAnsi="Calibri" w:cs="Calibri"/>
          <w:lang w:val="en-GB"/>
        </w:rPr>
        <w:t xml:space="preserve">about the Covenant and its </w:t>
      </w:r>
      <w:r w:rsidRPr="0048545D">
        <w:rPr>
          <w:rFonts w:ascii="Calibri" w:hAnsi="Calibri" w:cs="Calibri"/>
          <w:lang w:val="en-GB"/>
        </w:rPr>
        <w:t>Optional Protocol</w:t>
      </w:r>
      <w:r>
        <w:rPr>
          <w:rFonts w:ascii="Calibri" w:hAnsi="Calibri" w:cs="Calibri"/>
          <w:lang w:val="en-GB"/>
        </w:rPr>
        <w:t>, the Committee also referred to specific training, i</w:t>
      </w:r>
      <w:r w:rsidRPr="0048545D">
        <w:rPr>
          <w:rFonts w:ascii="Calibri" w:hAnsi="Calibri" w:cs="Calibri"/>
          <w:lang w:val="en-GB"/>
        </w:rPr>
        <w:t>n particular, in the context of hate speech and hate crimes against vulnerable and minority groups</w:t>
      </w:r>
      <w:r w:rsidR="00697735">
        <w:rPr>
          <w:rFonts w:ascii="Calibri" w:hAnsi="Calibri" w:cs="Calibri"/>
          <w:lang w:val="en-GB"/>
        </w:rPr>
        <w:t xml:space="preserve">. </w:t>
      </w:r>
      <w:r>
        <w:rPr>
          <w:rFonts w:ascii="Calibri" w:hAnsi="Calibri" w:cs="Calibri"/>
          <w:lang w:val="en-GB"/>
        </w:rPr>
        <w:t xml:space="preserve">Other specialized training that the Committee considered necessary was on </w:t>
      </w:r>
      <w:r w:rsidRPr="0048545D">
        <w:rPr>
          <w:rFonts w:ascii="Calibri" w:hAnsi="Calibri" w:cs="Calibri"/>
          <w:lang w:val="en-GB"/>
        </w:rPr>
        <w:t>gender-sensitive detection, handling, investigation and prosecution of cases of violence against women</w:t>
      </w:r>
      <w:r>
        <w:rPr>
          <w:rFonts w:ascii="Calibri" w:hAnsi="Calibri" w:cs="Calibri"/>
          <w:lang w:val="en-GB"/>
        </w:rPr>
        <w:t xml:space="preserve"> and training </w:t>
      </w:r>
      <w:r w:rsidRPr="004531D4">
        <w:rPr>
          <w:rFonts w:ascii="Calibri" w:hAnsi="Calibri" w:cs="Calibri"/>
          <w:lang w:val="en-GB"/>
        </w:rPr>
        <w:t>on procedures for identifying victims of trafficking in persons</w:t>
      </w:r>
      <w:r>
        <w:rPr>
          <w:rFonts w:ascii="Calibri" w:hAnsi="Calibri" w:cs="Calibri"/>
          <w:lang w:val="en-GB"/>
        </w:rPr>
        <w:t xml:space="preserve"> </w:t>
      </w:r>
      <w:r w:rsidRPr="004531D4">
        <w:rPr>
          <w:rFonts w:ascii="Calibri" w:hAnsi="Calibri" w:cs="Calibri"/>
          <w:lang w:val="en-GB"/>
        </w:rPr>
        <w:t>(</w:t>
      </w:r>
      <w:hyperlink r:id="rId15" w:history="1">
        <w:r w:rsidRPr="004531D4">
          <w:rPr>
            <w:rStyle w:val="Hyperlink"/>
            <w:rFonts w:ascii="Calibri" w:hAnsi="Calibri" w:cs="Calibri"/>
            <w:lang w:val="en-GB"/>
          </w:rPr>
          <w:t>CCPR/C/PRT/CO/5</w:t>
        </w:r>
      </w:hyperlink>
      <w:r w:rsidRPr="004531D4">
        <w:rPr>
          <w:rFonts w:ascii="Calibri" w:hAnsi="Calibri" w:cs="Calibri"/>
          <w:lang w:val="en-GB"/>
        </w:rPr>
        <w:t xml:space="preserve">, para </w:t>
      </w:r>
      <w:r w:rsidR="00697735">
        <w:rPr>
          <w:rFonts w:ascii="Calibri" w:hAnsi="Calibri" w:cs="Calibri"/>
          <w:lang w:val="en-GB"/>
        </w:rPr>
        <w:t xml:space="preserve">4, 5, </w:t>
      </w:r>
      <w:r w:rsidR="00697735" w:rsidRPr="0048545D">
        <w:rPr>
          <w:rFonts w:ascii="Calibri" w:hAnsi="Calibri" w:cs="Calibri"/>
          <w:lang w:val="en-GB"/>
        </w:rPr>
        <w:t>14, 15</w:t>
      </w:r>
      <w:r w:rsidR="00697735">
        <w:rPr>
          <w:rFonts w:ascii="Calibri" w:hAnsi="Calibri" w:cs="Calibri"/>
          <w:lang w:val="en-GB"/>
        </w:rPr>
        <w:t xml:space="preserve">, </w:t>
      </w:r>
      <w:r w:rsidR="000D35DC">
        <w:rPr>
          <w:rFonts w:ascii="Calibri" w:hAnsi="Calibri" w:cs="Calibri"/>
          <w:lang w:val="en-GB"/>
        </w:rPr>
        <w:t xml:space="preserve">22, 23, </w:t>
      </w:r>
      <w:r w:rsidRPr="004531D4">
        <w:rPr>
          <w:rFonts w:ascii="Calibri" w:hAnsi="Calibri" w:cs="Calibri"/>
          <w:lang w:val="en-GB"/>
        </w:rPr>
        <w:t>32, 33).</w:t>
      </w:r>
      <w:r>
        <w:rPr>
          <w:rFonts w:ascii="Calibri" w:hAnsi="Calibri" w:cs="Calibri"/>
          <w:lang w:val="en-GB"/>
        </w:rPr>
        <w:t xml:space="preserve"> </w:t>
      </w:r>
    </w:p>
    <w:p w:rsidR="00704504" w:rsidRPr="00704504" w:rsidRDefault="00704504" w:rsidP="00704504">
      <w:pPr>
        <w:spacing w:after="0" w:line="240" w:lineRule="auto"/>
        <w:jc w:val="both"/>
        <w:rPr>
          <w:rFonts w:ascii="Calibri" w:hAnsi="Calibri" w:cs="Calibri"/>
          <w:lang w:val="en-GB"/>
        </w:rPr>
      </w:pPr>
    </w:p>
    <w:p w:rsidR="001B7CA2" w:rsidRPr="00DE39B5" w:rsidRDefault="001B7CA2" w:rsidP="0053056D">
      <w:pPr>
        <w:spacing w:line="240" w:lineRule="auto"/>
        <w:jc w:val="both"/>
        <w:rPr>
          <w:lang w:val="en-GB"/>
        </w:rPr>
      </w:pPr>
      <w:r w:rsidRPr="00DE39B5">
        <w:rPr>
          <w:i/>
          <w:iCs/>
          <w:lang w:val="en-GB"/>
        </w:rPr>
        <w:t xml:space="preserve">14. Digitalisation (e.g. use of digital technology, particularly electronic communication tools, within the justice system and with court users, including resilience of justice systems in COVID-19 pandemic) </w:t>
      </w:r>
    </w:p>
    <w:p w:rsidR="001B7CA2" w:rsidRPr="00DE39B5" w:rsidRDefault="001B7CA2" w:rsidP="0053056D">
      <w:pPr>
        <w:spacing w:line="240" w:lineRule="auto"/>
        <w:jc w:val="both"/>
        <w:rPr>
          <w:lang w:val="en-GB"/>
        </w:rPr>
      </w:pPr>
      <w:r w:rsidRPr="00DE39B5">
        <w:rPr>
          <w:i/>
          <w:iCs/>
          <w:lang w:val="en-GB"/>
        </w:rPr>
        <w:t xml:space="preserve">15. Use of assessment tools and standards (e.g. ICT systems for case management, court statistics and their transparency, monitoring, evaluation, surveys among court users or legal professionals) </w:t>
      </w:r>
    </w:p>
    <w:p w:rsidR="001B7CA2" w:rsidRPr="00DE39B5" w:rsidRDefault="001B7CA2" w:rsidP="0053056D">
      <w:pPr>
        <w:spacing w:line="240" w:lineRule="auto"/>
        <w:jc w:val="both"/>
        <w:rPr>
          <w:lang w:val="en-GB"/>
        </w:rPr>
      </w:pPr>
      <w:r w:rsidRPr="00DE39B5">
        <w:rPr>
          <w:i/>
          <w:iCs/>
          <w:lang w:val="en-GB"/>
        </w:rPr>
        <w:t xml:space="preserve">16. Geographical distribution and number of courts/jurisdictions (“judicial map”) and their specialisation </w:t>
      </w:r>
    </w:p>
    <w:p w:rsidR="001B7CA2" w:rsidRPr="00DE39B5" w:rsidRDefault="001B7CA2" w:rsidP="0053056D">
      <w:pPr>
        <w:spacing w:line="240" w:lineRule="auto"/>
        <w:jc w:val="both"/>
        <w:rPr>
          <w:lang w:val="en-GB"/>
        </w:rPr>
      </w:pPr>
      <w:r w:rsidRPr="00DE39B5">
        <w:rPr>
          <w:b/>
          <w:bCs/>
          <w:i/>
          <w:iCs/>
          <w:lang w:val="en-GB"/>
        </w:rPr>
        <w:t xml:space="preserve">C. Efficiency of the justice system </w:t>
      </w:r>
    </w:p>
    <w:p w:rsidR="001B7CA2" w:rsidRDefault="001B7CA2" w:rsidP="0053056D">
      <w:pPr>
        <w:spacing w:line="240" w:lineRule="auto"/>
        <w:jc w:val="both"/>
        <w:rPr>
          <w:i/>
          <w:iCs/>
          <w:lang w:val="en-GB"/>
        </w:rPr>
      </w:pPr>
      <w:r w:rsidRPr="00DE39B5">
        <w:rPr>
          <w:i/>
          <w:iCs/>
          <w:lang w:val="en-GB"/>
        </w:rPr>
        <w:t xml:space="preserve">17. Length of proceedings </w:t>
      </w:r>
    </w:p>
    <w:p w:rsidR="00546ADC" w:rsidRDefault="00546ADC" w:rsidP="0053056D">
      <w:pPr>
        <w:spacing w:after="0" w:line="240" w:lineRule="auto"/>
        <w:jc w:val="both"/>
        <w:rPr>
          <w:lang w:val="en-GB"/>
        </w:rPr>
      </w:pPr>
      <w:r>
        <w:rPr>
          <w:lang w:val="en-GB"/>
        </w:rPr>
        <w:t xml:space="preserve">In </w:t>
      </w:r>
      <w:r w:rsidR="000D35DC">
        <w:rPr>
          <w:lang w:val="en-GB"/>
        </w:rPr>
        <w:t xml:space="preserve">its </w:t>
      </w:r>
      <w:r>
        <w:rPr>
          <w:lang w:val="en-GB"/>
        </w:rPr>
        <w:t>2020</w:t>
      </w:r>
      <w:r w:rsidR="000D35DC" w:rsidRPr="000D35DC">
        <w:rPr>
          <w:lang w:val="en-GB"/>
        </w:rPr>
        <w:t xml:space="preserve"> </w:t>
      </w:r>
      <w:r w:rsidR="000D35DC">
        <w:rPr>
          <w:lang w:val="en-GB"/>
        </w:rPr>
        <w:t>concluding observations</w:t>
      </w:r>
      <w:r>
        <w:rPr>
          <w:lang w:val="en-GB"/>
        </w:rPr>
        <w:t xml:space="preserve">, the UN Human Rights Committee </w:t>
      </w:r>
      <w:r w:rsidR="000D35DC">
        <w:rPr>
          <w:lang w:val="en-GB"/>
        </w:rPr>
        <w:t xml:space="preserve">expressed concern </w:t>
      </w:r>
      <w:r w:rsidR="000D35DC" w:rsidRPr="00997BCB">
        <w:rPr>
          <w:lang w:val="en-US"/>
        </w:rPr>
        <w:t>about reports of persons being held in pretrial detention for long periods</w:t>
      </w:r>
      <w:r w:rsidR="000D35DC">
        <w:rPr>
          <w:lang w:val="en-US"/>
        </w:rPr>
        <w:t xml:space="preserve"> and </w:t>
      </w:r>
      <w:r w:rsidR="000D35DC" w:rsidRPr="00997BCB">
        <w:rPr>
          <w:lang w:val="en-US"/>
        </w:rPr>
        <w:t>regret</w:t>
      </w:r>
      <w:r w:rsidR="000D35DC">
        <w:rPr>
          <w:lang w:val="en-US"/>
        </w:rPr>
        <w:t>ted</w:t>
      </w:r>
      <w:r w:rsidR="000D35DC" w:rsidRPr="00997BCB">
        <w:rPr>
          <w:lang w:val="en-US"/>
        </w:rPr>
        <w:t xml:space="preserve"> the lack of information on measures taken to reduce the length of investigations and on legal procedures to improve judicial efficiency</w:t>
      </w:r>
      <w:r w:rsidR="00697735">
        <w:rPr>
          <w:lang w:val="en-US"/>
        </w:rPr>
        <w:t xml:space="preserve"> (</w:t>
      </w:r>
      <w:hyperlink r:id="rId16" w:history="1">
        <w:r w:rsidRPr="00FA1727">
          <w:rPr>
            <w:rStyle w:val="Hyperlink"/>
            <w:lang w:val="en-GB"/>
          </w:rPr>
          <w:t>CCPR/C/PRT/CO/5</w:t>
        </w:r>
      </w:hyperlink>
      <w:r>
        <w:rPr>
          <w:lang w:val="en-GB"/>
        </w:rPr>
        <w:t>, para 40).</w:t>
      </w:r>
    </w:p>
    <w:p w:rsidR="0053056D" w:rsidRPr="0053056D" w:rsidRDefault="0053056D" w:rsidP="0053056D">
      <w:pPr>
        <w:spacing w:after="0" w:line="240" w:lineRule="auto"/>
        <w:jc w:val="both"/>
        <w:rPr>
          <w:lang w:val="en-GB"/>
        </w:rPr>
      </w:pPr>
    </w:p>
    <w:p w:rsidR="001B7CA2" w:rsidRDefault="001B7CA2" w:rsidP="0053056D">
      <w:pPr>
        <w:spacing w:line="240" w:lineRule="auto"/>
        <w:jc w:val="both"/>
        <w:rPr>
          <w:b/>
          <w:bCs/>
          <w:i/>
          <w:iCs/>
          <w:lang w:val="en-GB"/>
        </w:rPr>
      </w:pPr>
      <w:r w:rsidRPr="00DE39B5">
        <w:rPr>
          <w:b/>
          <w:bCs/>
          <w:i/>
          <w:iCs/>
          <w:lang w:val="en-GB"/>
        </w:rPr>
        <w:t xml:space="preserve">Other – please specify </w:t>
      </w:r>
    </w:p>
    <w:p w:rsidR="00E50AA3" w:rsidRPr="00F71D03" w:rsidRDefault="00997BCB" w:rsidP="0053056D">
      <w:pPr>
        <w:spacing w:line="240" w:lineRule="auto"/>
        <w:jc w:val="both"/>
        <w:rPr>
          <w:b/>
          <w:bCs/>
          <w:i/>
          <w:iCs/>
          <w:lang w:val="en-GB"/>
        </w:rPr>
      </w:pPr>
      <w:r w:rsidRPr="00697735">
        <w:rPr>
          <w:i/>
          <w:iCs/>
          <w:lang w:val="en-GB"/>
        </w:rPr>
        <w:t>C</w:t>
      </w:r>
      <w:r w:rsidR="00704504" w:rsidRPr="00697735">
        <w:rPr>
          <w:i/>
          <w:iCs/>
          <w:lang w:val="en-GB"/>
        </w:rPr>
        <w:t>hild justice</w:t>
      </w:r>
      <w:r w:rsidR="00697735">
        <w:rPr>
          <w:b/>
          <w:bCs/>
          <w:i/>
          <w:iCs/>
          <w:lang w:val="en-GB"/>
        </w:rPr>
        <w:t xml:space="preserve"> - </w:t>
      </w:r>
      <w:r w:rsidR="00704504">
        <w:rPr>
          <w:lang w:val="en-GB"/>
        </w:rPr>
        <w:t>I</w:t>
      </w:r>
      <w:r w:rsidR="00704504" w:rsidRPr="00693FA6">
        <w:rPr>
          <w:lang w:val="en-GB"/>
        </w:rPr>
        <w:t xml:space="preserve">n its 2019 concluding observations, the UN Committee on the Rights of the Child </w:t>
      </w:r>
      <w:r>
        <w:rPr>
          <w:lang w:val="en-GB"/>
        </w:rPr>
        <w:t xml:space="preserve">expressed concern </w:t>
      </w:r>
      <w:r w:rsidRPr="00997BCB">
        <w:rPr>
          <w:lang w:val="en-US"/>
        </w:rPr>
        <w:t>at the continued absence of legislation on and guidelines for the determination and application of the best interests of the child in justice</w:t>
      </w:r>
      <w:r>
        <w:rPr>
          <w:lang w:val="en-US"/>
        </w:rPr>
        <w:t xml:space="preserve"> (among other sectors) and </w:t>
      </w:r>
      <w:r w:rsidRPr="00997BCB">
        <w:rPr>
          <w:lang w:val="en-US"/>
        </w:rPr>
        <w:t>that this lack of guidance may result in contradictory interpretations of the law and decisions by different instances</w:t>
      </w:r>
      <w:r>
        <w:rPr>
          <w:lang w:val="en-US"/>
        </w:rPr>
        <w:t xml:space="preserve">. It </w:t>
      </w:r>
      <w:r w:rsidR="00704504" w:rsidRPr="00693FA6">
        <w:rPr>
          <w:lang w:val="en-GB"/>
        </w:rPr>
        <w:t xml:space="preserve">recommended Portugal </w:t>
      </w:r>
      <w:r w:rsidR="00704504">
        <w:rPr>
          <w:lang w:val="en-GB"/>
        </w:rPr>
        <w:t xml:space="preserve">to ensure </w:t>
      </w:r>
      <w:r w:rsidR="00704504" w:rsidRPr="00693FA6">
        <w:rPr>
          <w:lang w:val="en-GB"/>
        </w:rPr>
        <w:t xml:space="preserve">that the principle of the best interests of the child is incorporated into legislation and into all </w:t>
      </w:r>
      <w:r>
        <w:rPr>
          <w:lang w:val="en-GB"/>
        </w:rPr>
        <w:t xml:space="preserve">relevant </w:t>
      </w:r>
      <w:r w:rsidR="00704504" w:rsidRPr="00693FA6">
        <w:rPr>
          <w:lang w:val="en-GB"/>
        </w:rPr>
        <w:t xml:space="preserve">policies, programmes and projects. </w:t>
      </w:r>
      <w:r w:rsidR="00704504">
        <w:rPr>
          <w:lang w:val="en-GB"/>
        </w:rPr>
        <w:t>Further, the Committee recommended to e</w:t>
      </w:r>
      <w:r w:rsidR="00704504" w:rsidRPr="0069410B">
        <w:rPr>
          <w:lang w:val="en-GB"/>
        </w:rPr>
        <w:t>xpand the right of the child to be heard in all civil, administrative and criminal judicial and administrative proceedings affecting the child</w:t>
      </w:r>
      <w:r w:rsidR="00697735">
        <w:rPr>
          <w:lang w:val="en-GB"/>
        </w:rPr>
        <w:t xml:space="preserve"> </w:t>
      </w:r>
      <w:r w:rsidR="0047537D">
        <w:rPr>
          <w:lang w:val="en-GB"/>
        </w:rPr>
        <w:t>(</w:t>
      </w:r>
      <w:hyperlink r:id="rId17" w:history="1">
        <w:r w:rsidR="00704504" w:rsidRPr="00693FA6">
          <w:rPr>
            <w:rStyle w:val="Hyperlink"/>
            <w:lang w:val="en-GB"/>
          </w:rPr>
          <w:t>CRC/C/PRT/CO/5-6</w:t>
        </w:r>
      </w:hyperlink>
      <w:r w:rsidR="00704504" w:rsidRPr="00693FA6">
        <w:rPr>
          <w:lang w:val="en-GB"/>
        </w:rPr>
        <w:t xml:space="preserve">, para </w:t>
      </w:r>
      <w:r w:rsidR="00697735" w:rsidRPr="00693FA6">
        <w:rPr>
          <w:lang w:val="en-GB"/>
        </w:rPr>
        <w:t>1</w:t>
      </w:r>
      <w:r w:rsidR="00697735">
        <w:rPr>
          <w:lang w:val="en-GB"/>
        </w:rPr>
        <w:t xml:space="preserve">8a, 18b, </w:t>
      </w:r>
      <w:r w:rsidR="00704504">
        <w:rPr>
          <w:lang w:val="en-GB"/>
        </w:rPr>
        <w:t>20a, 20b</w:t>
      </w:r>
      <w:r w:rsidR="00704504" w:rsidRPr="00693FA6">
        <w:rPr>
          <w:lang w:val="en-GB"/>
        </w:rPr>
        <w:t>).</w:t>
      </w:r>
    </w:p>
    <w:p w:rsidR="00F71D03" w:rsidRPr="005679E1" w:rsidRDefault="00697735" w:rsidP="00F71D03">
      <w:pPr>
        <w:spacing w:after="0" w:line="240" w:lineRule="auto"/>
        <w:jc w:val="both"/>
        <w:rPr>
          <w:rFonts w:cstheme="minorHAnsi"/>
        </w:rPr>
      </w:pPr>
      <w:r w:rsidRPr="003279DD">
        <w:rPr>
          <w:rFonts w:cstheme="minorHAnsi"/>
          <w:bCs/>
          <w:i/>
          <w:lang w:val="en-GB"/>
        </w:rPr>
        <w:t xml:space="preserve">Housing - </w:t>
      </w:r>
      <w:r w:rsidR="00061D83" w:rsidRPr="003279DD">
        <w:rPr>
          <w:rFonts w:cstheme="minorHAnsi"/>
          <w:bCs/>
          <w:lang w:val="en-GB"/>
        </w:rPr>
        <w:t>In October 2019, the UN</w:t>
      </w:r>
      <w:r w:rsidR="00061D83" w:rsidRPr="003279DD">
        <w:rPr>
          <w:rFonts w:cstheme="minorHAnsi"/>
          <w:b/>
          <w:bCs/>
          <w:lang w:val="en-GB"/>
        </w:rPr>
        <w:t xml:space="preserve"> </w:t>
      </w:r>
      <w:r w:rsidR="00061D83" w:rsidRPr="003279DD">
        <w:rPr>
          <w:rFonts w:cstheme="minorHAnsi"/>
          <w:lang w:val="en-US"/>
        </w:rPr>
        <w:t>Special Rapporteur on the right to adequate housing praised Portugal for the new Basic Housing Law. She welcomed that the law provides protection measures for those at risk of evictions, such as consultation, information, legal aid and accompaniment, as well as the prohibition to conduct evictions at night. She stated that she would be watching closely to ensure that the provisions relating to access to justice for violations of the right to housing, including complaints to the Ombudsman, are fully implemented, without which, the right to housing would not be ensured</w:t>
      </w:r>
      <w:r w:rsidR="005679E1">
        <w:rPr>
          <w:rFonts w:cstheme="minorHAnsi"/>
          <w:lang w:val="en-US"/>
        </w:rPr>
        <w:t xml:space="preserve">. </w:t>
      </w:r>
      <w:r w:rsidR="005679E1" w:rsidRPr="005679E1">
        <w:rPr>
          <w:rFonts w:cstheme="minorHAnsi"/>
        </w:rPr>
        <w:t>(</w:t>
      </w:r>
      <w:r w:rsidR="00F71D03" w:rsidRPr="005679E1">
        <w:rPr>
          <w:rFonts w:cstheme="minorHAnsi"/>
        </w:rPr>
        <w:t>available at</w:t>
      </w:r>
    </w:p>
    <w:p w:rsidR="00061D83" w:rsidRPr="005679E1" w:rsidRDefault="005679E1" w:rsidP="00F71D03">
      <w:pPr>
        <w:spacing w:after="0" w:line="240" w:lineRule="auto"/>
        <w:jc w:val="both"/>
        <w:rPr>
          <w:rFonts w:cstheme="minorHAnsi"/>
          <w:b/>
          <w:bCs/>
        </w:rPr>
      </w:pPr>
      <w:hyperlink r:id="rId18" w:history="1">
        <w:r w:rsidRPr="005679E1">
          <w:rPr>
            <w:rStyle w:val="Hyperlink"/>
            <w:rFonts w:cstheme="minorHAnsi"/>
          </w:rPr>
          <w:t>https://www.ohchr.org/EN/NewsEvents/Pages/DisplayNews.aspx?NewsID=25083&amp;</w:t>
        </w:r>
        <w:r w:rsidRPr="005679E1">
          <w:rPr>
            <w:rStyle w:val="Hyperlink"/>
            <w:rFonts w:cstheme="minorHAnsi"/>
          </w:rPr>
          <w:t>LangID=E</w:t>
        </w:r>
      </w:hyperlink>
      <w:r w:rsidRPr="005679E1">
        <w:rPr>
          <w:rFonts w:cstheme="minorHAnsi"/>
        </w:rPr>
        <w:t xml:space="preserve">)    </w:t>
      </w:r>
    </w:p>
    <w:p w:rsidR="00E50AA3" w:rsidRPr="005679E1" w:rsidRDefault="00E50AA3" w:rsidP="0053056D">
      <w:pPr>
        <w:spacing w:line="240" w:lineRule="auto"/>
        <w:jc w:val="both"/>
        <w:rPr>
          <w:b/>
          <w:bCs/>
        </w:rPr>
      </w:pPr>
    </w:p>
    <w:p w:rsidR="001B7CA2" w:rsidRPr="00DE39B5" w:rsidRDefault="001B7CA2" w:rsidP="0053056D">
      <w:pPr>
        <w:spacing w:line="240" w:lineRule="auto"/>
        <w:jc w:val="both"/>
        <w:rPr>
          <w:lang w:val="en-GB"/>
        </w:rPr>
      </w:pPr>
      <w:r w:rsidRPr="00DE39B5">
        <w:rPr>
          <w:b/>
          <w:bCs/>
          <w:lang w:val="en-GB"/>
        </w:rPr>
        <w:t xml:space="preserve">II. Anti-corruption framework </w:t>
      </w:r>
    </w:p>
    <w:p w:rsidR="001B7CA2" w:rsidRPr="00DE39B5" w:rsidRDefault="001B7CA2" w:rsidP="0053056D">
      <w:pPr>
        <w:spacing w:line="240" w:lineRule="auto"/>
        <w:jc w:val="both"/>
        <w:rPr>
          <w:lang w:val="en-GB"/>
        </w:rPr>
      </w:pPr>
      <w:r w:rsidRPr="00DE39B5">
        <w:rPr>
          <w:b/>
          <w:bCs/>
          <w:i/>
          <w:iCs/>
          <w:lang w:val="en-GB"/>
        </w:rPr>
        <w:t xml:space="preserve">A. The institutional framework capacity to fight against corruption (prevention and investigation / prosecution) </w:t>
      </w:r>
    </w:p>
    <w:p w:rsidR="001B7CA2" w:rsidRPr="00DE39B5" w:rsidRDefault="001B7CA2" w:rsidP="0053056D">
      <w:pPr>
        <w:spacing w:line="240" w:lineRule="auto"/>
        <w:jc w:val="both"/>
        <w:rPr>
          <w:lang w:val="en-GB"/>
        </w:rPr>
      </w:pPr>
      <w:r w:rsidRPr="00DE39B5">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rsidR="001B7CA2" w:rsidRPr="00DE39B5" w:rsidRDefault="001B7CA2" w:rsidP="0053056D">
      <w:pPr>
        <w:spacing w:line="240" w:lineRule="auto"/>
        <w:jc w:val="both"/>
        <w:rPr>
          <w:lang w:val="en-GB"/>
        </w:rPr>
      </w:pPr>
      <w:r w:rsidRPr="00DE39B5">
        <w:rPr>
          <w:b/>
          <w:bCs/>
          <w:i/>
          <w:iCs/>
          <w:lang w:val="en-GB"/>
        </w:rPr>
        <w:t xml:space="preserve">B. Prevention </w:t>
      </w:r>
    </w:p>
    <w:p w:rsidR="001B7CA2" w:rsidRPr="00DE39B5" w:rsidRDefault="001B7CA2" w:rsidP="0053056D">
      <w:pPr>
        <w:spacing w:line="240" w:lineRule="auto"/>
        <w:jc w:val="both"/>
        <w:rPr>
          <w:lang w:val="en-GB"/>
        </w:rPr>
      </w:pPr>
      <w:r w:rsidRPr="00DE39B5">
        <w:rPr>
          <w:i/>
          <w:iCs/>
          <w:lang w:val="en-GB"/>
        </w:rPr>
        <w:t xml:space="preserve">19. Integrity framework including incompatibility rules (e.g.: revolving doors) </w:t>
      </w:r>
    </w:p>
    <w:p w:rsidR="001B7CA2" w:rsidRPr="00DE39B5" w:rsidRDefault="001B7CA2" w:rsidP="0053056D">
      <w:pPr>
        <w:spacing w:line="240" w:lineRule="auto"/>
        <w:jc w:val="both"/>
        <w:rPr>
          <w:lang w:val="en-GB"/>
        </w:rPr>
      </w:pPr>
      <w:r w:rsidRPr="00DE39B5">
        <w:rPr>
          <w:i/>
          <w:iCs/>
          <w:lang w:val="en-GB"/>
        </w:rPr>
        <w:t xml:space="preserve">20. General transparency of public decision-making (including public access to information such as lobbying, asset disclosure rules and transparency of political party financing) </w:t>
      </w:r>
    </w:p>
    <w:p w:rsidR="001B7CA2" w:rsidRPr="00DE39B5" w:rsidRDefault="001B7CA2" w:rsidP="0053056D">
      <w:pPr>
        <w:spacing w:line="240" w:lineRule="auto"/>
        <w:jc w:val="both"/>
        <w:rPr>
          <w:lang w:val="en-GB"/>
        </w:rPr>
      </w:pPr>
      <w:r w:rsidRPr="00DE39B5">
        <w:rPr>
          <w:i/>
          <w:iCs/>
          <w:lang w:val="en-GB"/>
        </w:rPr>
        <w:t xml:space="preserve">21. Rules on preventing conflict of interests in the public sector </w:t>
      </w:r>
    </w:p>
    <w:p w:rsidR="001B7CA2" w:rsidRPr="00DE39B5" w:rsidRDefault="001B7CA2" w:rsidP="0053056D">
      <w:pPr>
        <w:spacing w:line="240" w:lineRule="auto"/>
        <w:jc w:val="both"/>
        <w:rPr>
          <w:lang w:val="en-GB"/>
        </w:rPr>
      </w:pPr>
      <w:r w:rsidRPr="00DE39B5">
        <w:rPr>
          <w:i/>
          <w:iCs/>
          <w:lang w:val="en-GB"/>
        </w:rPr>
        <w:t xml:space="preserve">22. Measures in place to ensure whistleblower protection and encourage reporting of corruption </w:t>
      </w:r>
    </w:p>
    <w:p w:rsidR="001B7CA2" w:rsidRPr="00DE39B5" w:rsidRDefault="001B7CA2" w:rsidP="0053056D">
      <w:pPr>
        <w:spacing w:line="240" w:lineRule="auto"/>
        <w:jc w:val="both"/>
        <w:rPr>
          <w:lang w:val="en-GB"/>
        </w:rPr>
      </w:pPr>
      <w:r w:rsidRPr="00DE39B5">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rsidR="001B7CA2" w:rsidRPr="00DE39B5" w:rsidRDefault="001B7CA2" w:rsidP="0053056D">
      <w:pPr>
        <w:spacing w:line="240" w:lineRule="auto"/>
        <w:jc w:val="both"/>
        <w:rPr>
          <w:lang w:val="en-GB"/>
        </w:rPr>
      </w:pPr>
      <w:r w:rsidRPr="00DE39B5">
        <w:rPr>
          <w:i/>
          <w:iCs/>
          <w:lang w:val="en-GB"/>
        </w:rPr>
        <w:t xml:space="preserve">24. Measures taken to address corruption risks in the context of the COVID-19 pandemic. </w:t>
      </w:r>
    </w:p>
    <w:p w:rsidR="001B7CA2" w:rsidRPr="00DE39B5" w:rsidRDefault="001B7CA2" w:rsidP="0053056D">
      <w:pPr>
        <w:spacing w:line="240" w:lineRule="auto"/>
        <w:jc w:val="both"/>
        <w:rPr>
          <w:lang w:val="en-GB"/>
        </w:rPr>
      </w:pPr>
      <w:r w:rsidRPr="00DE39B5">
        <w:rPr>
          <w:i/>
          <w:iCs/>
          <w:lang w:val="en-GB"/>
        </w:rPr>
        <w:t xml:space="preserve">25. Any other relevant measures to prevent corruption in public and private sector </w:t>
      </w:r>
    </w:p>
    <w:p w:rsidR="001B7CA2" w:rsidRPr="00DE39B5" w:rsidRDefault="001B7CA2" w:rsidP="0053056D">
      <w:pPr>
        <w:spacing w:line="240" w:lineRule="auto"/>
        <w:jc w:val="both"/>
        <w:rPr>
          <w:lang w:val="en-GB"/>
        </w:rPr>
      </w:pPr>
      <w:r w:rsidRPr="00DE39B5">
        <w:rPr>
          <w:b/>
          <w:bCs/>
          <w:i/>
          <w:iCs/>
          <w:lang w:val="en-GB"/>
        </w:rPr>
        <w:t xml:space="preserve">C. Repressive measures </w:t>
      </w:r>
    </w:p>
    <w:p w:rsidR="001B7CA2" w:rsidRPr="00DE39B5" w:rsidRDefault="001B7CA2" w:rsidP="0053056D">
      <w:pPr>
        <w:spacing w:line="240" w:lineRule="auto"/>
        <w:jc w:val="both"/>
        <w:rPr>
          <w:lang w:val="en-GB"/>
        </w:rPr>
      </w:pPr>
      <w:r w:rsidRPr="00DE39B5">
        <w:rPr>
          <w:i/>
          <w:iCs/>
          <w:lang w:val="en-GB"/>
        </w:rPr>
        <w:t xml:space="preserve">26. Criminalisation of corruption and related offences </w:t>
      </w:r>
    </w:p>
    <w:p w:rsidR="001B7CA2" w:rsidRPr="00DE39B5" w:rsidRDefault="001B7CA2" w:rsidP="0053056D">
      <w:pPr>
        <w:spacing w:line="240" w:lineRule="auto"/>
        <w:jc w:val="both"/>
        <w:rPr>
          <w:lang w:val="en-GB"/>
        </w:rPr>
      </w:pPr>
      <w:r w:rsidRPr="00DE39B5">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rsidR="001B7CA2" w:rsidRDefault="001B7CA2" w:rsidP="0053056D">
      <w:pPr>
        <w:spacing w:line="240" w:lineRule="auto"/>
        <w:jc w:val="both"/>
        <w:rPr>
          <w:i/>
          <w:iCs/>
          <w:lang w:val="en-GB"/>
        </w:rPr>
      </w:pPr>
      <w:r w:rsidRPr="00DE39B5">
        <w:rPr>
          <w:i/>
          <w:iCs/>
          <w:lang w:val="en-GB"/>
        </w:rPr>
        <w:t xml:space="preserve">28. Potential obstacles to investigation and prosecution of high-level and complex corruption cases (e.g. political immunity regulation) </w:t>
      </w:r>
    </w:p>
    <w:p w:rsidR="00FA1727" w:rsidRDefault="00AA0F16" w:rsidP="006A0134">
      <w:pPr>
        <w:spacing w:after="0" w:line="240" w:lineRule="auto"/>
        <w:jc w:val="both"/>
        <w:rPr>
          <w:lang w:val="en-GB"/>
        </w:rPr>
      </w:pPr>
      <w:r>
        <w:rPr>
          <w:lang w:val="en-GB"/>
        </w:rPr>
        <w:t>In its 2020 concluding observations, t</w:t>
      </w:r>
      <w:r w:rsidR="00FA1727">
        <w:rPr>
          <w:lang w:val="en-GB"/>
        </w:rPr>
        <w:t>he UN Human Rights Committee</w:t>
      </w:r>
      <w:r>
        <w:rPr>
          <w:lang w:val="en-GB"/>
        </w:rPr>
        <w:t xml:space="preserve">, while </w:t>
      </w:r>
      <w:r w:rsidRPr="009C2C2A">
        <w:rPr>
          <w:lang w:val="en-US"/>
        </w:rPr>
        <w:t>appreciating information on legislative, institutional and enforcement measures taken to prevent and combat corruption</w:t>
      </w:r>
      <w:r>
        <w:rPr>
          <w:lang w:val="en-US"/>
        </w:rPr>
        <w:t xml:space="preserve">, </w:t>
      </w:r>
      <w:r w:rsidR="00FA1727">
        <w:rPr>
          <w:lang w:val="en-GB"/>
        </w:rPr>
        <w:t xml:space="preserve">expressed concern about recent scandals involving high-level cases of corruption in Portugal. The Committee recommended Portugal to continue its efforts, including </w:t>
      </w:r>
      <w:r w:rsidR="00FA1727" w:rsidRPr="00FA1727">
        <w:rPr>
          <w:lang w:val="en-GB"/>
        </w:rPr>
        <w:t xml:space="preserve">through </w:t>
      </w:r>
      <w:r>
        <w:rPr>
          <w:lang w:val="en-GB"/>
        </w:rPr>
        <w:t xml:space="preserve">providing </w:t>
      </w:r>
      <w:r w:rsidR="00FA1727">
        <w:rPr>
          <w:lang w:val="en-GB"/>
        </w:rPr>
        <w:t xml:space="preserve">training to </w:t>
      </w:r>
      <w:r w:rsidR="00FA1727" w:rsidRPr="00FA1727">
        <w:rPr>
          <w:lang w:val="en-GB"/>
        </w:rPr>
        <w:t>law enforcement agencies, prosecutors and judges on detecting, investigating and prosecuting corruption, and on strengthening the independence and specialization of law enforcement agencies and prosecutors dealing with corruption cases, in order to enable the investigation of complex and high-level corruption cases</w:t>
      </w:r>
      <w:r w:rsidR="00FF1DBD">
        <w:rPr>
          <w:lang w:val="en-GB"/>
        </w:rPr>
        <w:t xml:space="preserve"> </w:t>
      </w:r>
      <w:r w:rsidR="00F71D03">
        <w:rPr>
          <w:lang w:val="en-GB"/>
        </w:rPr>
        <w:t>(</w:t>
      </w:r>
      <w:hyperlink r:id="rId19" w:history="1">
        <w:r w:rsidR="00FA1727" w:rsidRPr="00FA1727">
          <w:rPr>
            <w:rStyle w:val="Hyperlink"/>
            <w:lang w:val="en-GB"/>
          </w:rPr>
          <w:t>CCPR/C/PRT/CO/5</w:t>
        </w:r>
      </w:hyperlink>
      <w:r w:rsidR="00FA1727">
        <w:rPr>
          <w:lang w:val="en-GB"/>
        </w:rPr>
        <w:t>, para 8, 9).</w:t>
      </w:r>
      <w:r w:rsidR="007F6BCB">
        <w:rPr>
          <w:lang w:val="en-GB"/>
        </w:rPr>
        <w:t xml:space="preserve"> Portugal </w:t>
      </w:r>
      <w:r w:rsidR="00FF1DBD">
        <w:rPr>
          <w:lang w:val="en-GB"/>
        </w:rPr>
        <w:t xml:space="preserve">previously </w:t>
      </w:r>
      <w:r w:rsidR="007F6BCB">
        <w:rPr>
          <w:lang w:val="en-GB"/>
        </w:rPr>
        <w:t>supported recommendation</w:t>
      </w:r>
      <w:r w:rsidR="00FF1DBD">
        <w:rPr>
          <w:lang w:val="en-GB"/>
        </w:rPr>
        <w:t>s</w:t>
      </w:r>
      <w:r w:rsidR="007F6BCB">
        <w:rPr>
          <w:lang w:val="en-GB"/>
        </w:rPr>
        <w:t xml:space="preserve"> from </w:t>
      </w:r>
      <w:r w:rsidR="00FF1DBD">
        <w:rPr>
          <w:lang w:val="en-GB"/>
        </w:rPr>
        <w:t xml:space="preserve">its third </w:t>
      </w:r>
      <w:r w:rsidR="007F6BCB">
        <w:rPr>
          <w:lang w:val="en-GB"/>
        </w:rPr>
        <w:t>Universal Periodic Review</w:t>
      </w:r>
      <w:r w:rsidR="00FF1DBD">
        <w:rPr>
          <w:lang w:val="en-GB"/>
        </w:rPr>
        <w:t xml:space="preserve"> in 2019</w:t>
      </w:r>
      <w:r w:rsidR="007F6BCB">
        <w:rPr>
          <w:lang w:val="en-GB"/>
        </w:rPr>
        <w:t xml:space="preserve"> t</w:t>
      </w:r>
      <w:r w:rsidR="00617E08">
        <w:rPr>
          <w:lang w:val="en-GB"/>
        </w:rPr>
        <w:t>o</w:t>
      </w:r>
      <w:r w:rsidR="00617E08" w:rsidRPr="00E374FC">
        <w:rPr>
          <w:color w:val="000000"/>
          <w:lang w:val="en-US" w:eastAsia="en-GB"/>
        </w:rPr>
        <w:t xml:space="preserve"> strengthen work on anti-corruption</w:t>
      </w:r>
      <w:r w:rsidR="00FF1DBD">
        <w:rPr>
          <w:color w:val="000000"/>
          <w:lang w:val="en-US" w:eastAsia="en-GB"/>
        </w:rPr>
        <w:t xml:space="preserve"> and to es</w:t>
      </w:r>
      <w:r w:rsidR="00FF1DBD" w:rsidRPr="00FF1DBD">
        <w:rPr>
          <w:color w:val="000000"/>
          <w:lang w:val="en-US" w:eastAsia="en-GB"/>
        </w:rPr>
        <w:t>tablish rules on professional conduct in the area of corruption prevention to judges and prosecutors</w:t>
      </w:r>
      <w:r w:rsidR="00FF1DBD">
        <w:rPr>
          <w:color w:val="000000"/>
          <w:lang w:val="en-US" w:eastAsia="en-GB"/>
        </w:rPr>
        <w:t xml:space="preserve"> a</w:t>
      </w:r>
      <w:r w:rsidR="00F71D03">
        <w:rPr>
          <w:color w:val="000000"/>
          <w:lang w:val="en-US" w:eastAsia="en-GB"/>
        </w:rPr>
        <w:t>s well as Members of Parliament (</w:t>
      </w:r>
      <w:hyperlink r:id="rId20" w:history="1">
        <w:r w:rsidR="00617E08" w:rsidRPr="009E71F5">
          <w:rPr>
            <w:rStyle w:val="Hyperlink"/>
            <w:lang w:val="en-GB"/>
          </w:rPr>
          <w:t>A/HRC/42/7</w:t>
        </w:r>
      </w:hyperlink>
      <w:r w:rsidR="00617E08">
        <w:rPr>
          <w:lang w:val="en-GB"/>
        </w:rPr>
        <w:t>, para</w:t>
      </w:r>
      <w:r w:rsidR="00247F79">
        <w:rPr>
          <w:lang w:val="en-GB"/>
        </w:rPr>
        <w:t xml:space="preserve"> </w:t>
      </w:r>
      <w:r w:rsidR="00617E08">
        <w:rPr>
          <w:lang w:val="en-GB"/>
        </w:rPr>
        <w:t>137.93</w:t>
      </w:r>
      <w:r w:rsidR="00FF1DBD">
        <w:rPr>
          <w:lang w:val="en-GB"/>
        </w:rPr>
        <w:t>; 137.04</w:t>
      </w:r>
      <w:r w:rsidR="00617E08">
        <w:rPr>
          <w:lang w:val="en-GB"/>
        </w:rPr>
        <w:t xml:space="preserve">). </w:t>
      </w:r>
    </w:p>
    <w:p w:rsidR="0053056D" w:rsidRPr="00DE39B5" w:rsidRDefault="0053056D" w:rsidP="0053056D">
      <w:pPr>
        <w:spacing w:after="0" w:line="240" w:lineRule="auto"/>
        <w:jc w:val="both"/>
        <w:rPr>
          <w:lang w:val="en-GB"/>
        </w:rPr>
      </w:pPr>
    </w:p>
    <w:p w:rsidR="002043C9" w:rsidRDefault="001B7CA2" w:rsidP="0053056D">
      <w:pPr>
        <w:tabs>
          <w:tab w:val="left" w:pos="3753"/>
        </w:tabs>
        <w:spacing w:line="240" w:lineRule="auto"/>
        <w:jc w:val="both"/>
        <w:rPr>
          <w:b/>
          <w:bCs/>
          <w:i/>
          <w:iCs/>
          <w:lang w:val="en-GB"/>
        </w:rPr>
      </w:pPr>
      <w:r w:rsidRPr="00DE39B5">
        <w:rPr>
          <w:b/>
          <w:bCs/>
          <w:i/>
          <w:iCs/>
          <w:lang w:val="en-GB"/>
        </w:rPr>
        <w:t xml:space="preserve">Other – please specify </w:t>
      </w:r>
    </w:p>
    <w:p w:rsidR="001B7CA2" w:rsidRPr="00DE39B5" w:rsidRDefault="001B7CA2" w:rsidP="0053056D">
      <w:pPr>
        <w:spacing w:line="240" w:lineRule="auto"/>
        <w:jc w:val="both"/>
        <w:rPr>
          <w:lang w:val="en-GB"/>
        </w:rPr>
      </w:pPr>
      <w:r w:rsidRPr="00DE39B5">
        <w:rPr>
          <w:b/>
          <w:bCs/>
          <w:lang w:val="en-GB"/>
        </w:rPr>
        <w:t xml:space="preserve">III. Media pluralism </w:t>
      </w:r>
    </w:p>
    <w:p w:rsidR="001B7CA2" w:rsidRPr="00DE39B5" w:rsidRDefault="001B7CA2" w:rsidP="0053056D">
      <w:pPr>
        <w:spacing w:line="240" w:lineRule="auto"/>
        <w:jc w:val="both"/>
        <w:rPr>
          <w:lang w:val="en-GB"/>
        </w:rPr>
      </w:pPr>
      <w:r w:rsidRPr="00DE39B5">
        <w:rPr>
          <w:b/>
          <w:bCs/>
          <w:i/>
          <w:iCs/>
          <w:lang w:val="en-GB"/>
        </w:rPr>
        <w:t xml:space="preserve">A. Media authorities and bodies </w:t>
      </w:r>
    </w:p>
    <w:p w:rsidR="001B7CA2" w:rsidRPr="00DE39B5" w:rsidRDefault="001B7CA2" w:rsidP="0053056D">
      <w:pPr>
        <w:spacing w:line="240" w:lineRule="auto"/>
        <w:jc w:val="both"/>
        <w:rPr>
          <w:lang w:val="en-GB"/>
        </w:rPr>
      </w:pPr>
      <w:r w:rsidRPr="00DE39B5">
        <w:rPr>
          <w:i/>
          <w:iCs/>
          <w:lang w:val="en-GB"/>
        </w:rPr>
        <w:t xml:space="preserve">29. Independence, enforcement powers and adequacy of resources of media regulatory authorities and bodies </w:t>
      </w:r>
    </w:p>
    <w:p w:rsidR="001B7CA2" w:rsidRPr="00DE39B5" w:rsidRDefault="001B7CA2" w:rsidP="0053056D">
      <w:pPr>
        <w:spacing w:line="240" w:lineRule="auto"/>
        <w:jc w:val="both"/>
        <w:rPr>
          <w:lang w:val="en-GB"/>
        </w:rPr>
      </w:pPr>
      <w:r w:rsidRPr="00DE39B5">
        <w:rPr>
          <w:i/>
          <w:iCs/>
          <w:lang w:val="en-GB"/>
        </w:rPr>
        <w:t xml:space="preserve">30. Conditions and procedures for the appointment and dismissal of the head / members of the collegiate body of media regulatory authorities and bodies </w:t>
      </w:r>
    </w:p>
    <w:p w:rsidR="001B7CA2" w:rsidRPr="00DE39B5" w:rsidRDefault="001B7CA2" w:rsidP="0053056D">
      <w:pPr>
        <w:spacing w:line="240" w:lineRule="auto"/>
        <w:jc w:val="both"/>
        <w:rPr>
          <w:lang w:val="en-GB"/>
        </w:rPr>
      </w:pPr>
      <w:r w:rsidRPr="00DE39B5">
        <w:rPr>
          <w:i/>
          <w:iCs/>
          <w:lang w:val="en-GB"/>
        </w:rPr>
        <w:t xml:space="preserve">31. Existence and functions of media councils or other self-regulatory bodies </w:t>
      </w:r>
    </w:p>
    <w:p w:rsidR="001B7CA2" w:rsidRPr="00DE39B5" w:rsidRDefault="001B7CA2" w:rsidP="0053056D">
      <w:pPr>
        <w:spacing w:line="240" w:lineRule="auto"/>
        <w:jc w:val="both"/>
        <w:rPr>
          <w:lang w:val="en-GB"/>
        </w:rPr>
      </w:pPr>
      <w:r w:rsidRPr="00DE39B5">
        <w:rPr>
          <w:b/>
          <w:bCs/>
          <w:i/>
          <w:iCs/>
          <w:lang w:val="en-GB"/>
        </w:rPr>
        <w:t xml:space="preserve">B. Transparency of media ownership and government interference </w:t>
      </w:r>
    </w:p>
    <w:p w:rsidR="001B7CA2" w:rsidRPr="00DE39B5" w:rsidRDefault="001B7CA2" w:rsidP="0053056D">
      <w:pPr>
        <w:spacing w:line="240" w:lineRule="auto"/>
        <w:jc w:val="both"/>
        <w:rPr>
          <w:lang w:val="en-GB"/>
        </w:rPr>
      </w:pPr>
      <w:r w:rsidRPr="00DE39B5">
        <w:rPr>
          <w:i/>
          <w:iCs/>
          <w:lang w:val="en-GB"/>
        </w:rPr>
        <w:t xml:space="preserve">32. The transparent allocation of state advertising (including any rules regulating the matter); other safeguards against state / political interference </w:t>
      </w:r>
    </w:p>
    <w:p w:rsidR="001B7CA2" w:rsidRPr="00DE39B5" w:rsidRDefault="001B7CA2" w:rsidP="0053056D">
      <w:pPr>
        <w:spacing w:line="240" w:lineRule="auto"/>
        <w:jc w:val="both"/>
        <w:rPr>
          <w:lang w:val="en-GB"/>
        </w:rPr>
      </w:pPr>
      <w:r w:rsidRPr="00DE39B5">
        <w:rPr>
          <w:i/>
          <w:iCs/>
          <w:lang w:val="en-GB"/>
        </w:rPr>
        <w:t xml:space="preserve">33. Rules governing transparency of media ownership and public availability of media ownership information </w:t>
      </w:r>
    </w:p>
    <w:p w:rsidR="001B7CA2" w:rsidRPr="00DE39B5" w:rsidRDefault="001B7CA2" w:rsidP="0053056D">
      <w:pPr>
        <w:spacing w:line="240" w:lineRule="auto"/>
        <w:jc w:val="both"/>
        <w:rPr>
          <w:lang w:val="en-GB"/>
        </w:rPr>
      </w:pPr>
      <w:r w:rsidRPr="00DE39B5">
        <w:rPr>
          <w:b/>
          <w:bCs/>
          <w:i/>
          <w:iCs/>
          <w:lang w:val="en-GB"/>
        </w:rPr>
        <w:t xml:space="preserve">C. Framework for journalists' protection </w:t>
      </w:r>
    </w:p>
    <w:p w:rsidR="001B7CA2" w:rsidRPr="00DE39B5" w:rsidRDefault="001B7CA2" w:rsidP="0053056D">
      <w:pPr>
        <w:spacing w:line="240" w:lineRule="auto"/>
        <w:jc w:val="both"/>
        <w:rPr>
          <w:lang w:val="en-GB"/>
        </w:rPr>
      </w:pPr>
      <w:r w:rsidRPr="00DE39B5">
        <w:rPr>
          <w:i/>
          <w:iCs/>
          <w:lang w:val="en-GB"/>
        </w:rPr>
        <w:t xml:space="preserve">34. Rules and practices guaranteeing journalist's independence and safety </w:t>
      </w:r>
    </w:p>
    <w:p w:rsidR="009370E4" w:rsidRPr="00C560E0" w:rsidRDefault="001B7CA2" w:rsidP="0053056D">
      <w:pPr>
        <w:spacing w:line="240" w:lineRule="auto"/>
        <w:jc w:val="both"/>
        <w:rPr>
          <w:i/>
          <w:iCs/>
          <w:lang w:val="en-GB"/>
        </w:rPr>
      </w:pPr>
      <w:r w:rsidRPr="00DE39B5">
        <w:rPr>
          <w:i/>
          <w:iCs/>
          <w:lang w:val="en-GB"/>
        </w:rPr>
        <w:t xml:space="preserve">35. Law enforcement capacity to ensure journalists' safety and to investigate attacks on journalists </w:t>
      </w:r>
    </w:p>
    <w:p w:rsidR="001B7CA2" w:rsidRPr="00DE39B5" w:rsidRDefault="001B7CA2" w:rsidP="0053056D">
      <w:pPr>
        <w:spacing w:line="240" w:lineRule="auto"/>
        <w:jc w:val="both"/>
        <w:rPr>
          <w:lang w:val="en-GB"/>
        </w:rPr>
      </w:pPr>
      <w:r w:rsidRPr="00DE39B5">
        <w:rPr>
          <w:i/>
          <w:iCs/>
          <w:lang w:val="en-GB"/>
        </w:rPr>
        <w:t xml:space="preserve">36. Access to information and public documents </w:t>
      </w:r>
    </w:p>
    <w:p w:rsidR="001B7CA2" w:rsidRPr="00DE39B5" w:rsidRDefault="001B7CA2" w:rsidP="0053056D">
      <w:pPr>
        <w:spacing w:line="240" w:lineRule="auto"/>
        <w:jc w:val="both"/>
        <w:rPr>
          <w:lang w:val="en-GB"/>
        </w:rPr>
      </w:pPr>
      <w:r w:rsidRPr="00DE39B5">
        <w:rPr>
          <w:i/>
          <w:iCs/>
          <w:lang w:val="en-GB"/>
        </w:rPr>
        <w:t xml:space="preserve">37. Lawsuits and convictions against journalists (incl. defamation cases) and safeguards against abuse </w:t>
      </w:r>
    </w:p>
    <w:p w:rsidR="001B7CA2" w:rsidRPr="00DE39B5" w:rsidRDefault="001B7CA2" w:rsidP="0053056D">
      <w:pPr>
        <w:spacing w:line="240" w:lineRule="auto"/>
        <w:jc w:val="both"/>
        <w:rPr>
          <w:lang w:val="en-GB"/>
        </w:rPr>
      </w:pPr>
      <w:r w:rsidRPr="00DE39B5">
        <w:rPr>
          <w:b/>
          <w:bCs/>
          <w:i/>
          <w:iCs/>
          <w:lang w:val="en-GB"/>
        </w:rPr>
        <w:t xml:space="preserve">Other – please specify </w:t>
      </w:r>
    </w:p>
    <w:p w:rsidR="001B7CA2" w:rsidRPr="00DE39B5" w:rsidRDefault="001B7CA2" w:rsidP="0053056D">
      <w:pPr>
        <w:spacing w:line="240" w:lineRule="auto"/>
        <w:jc w:val="both"/>
        <w:rPr>
          <w:lang w:val="en-GB"/>
        </w:rPr>
      </w:pPr>
      <w:r w:rsidRPr="00DE39B5">
        <w:rPr>
          <w:b/>
          <w:bCs/>
          <w:lang w:val="en-GB"/>
        </w:rPr>
        <w:t xml:space="preserve">IV. Other institutional issues related to checks and balances </w:t>
      </w:r>
    </w:p>
    <w:p w:rsidR="001B7CA2" w:rsidRPr="00DE39B5" w:rsidRDefault="001B7CA2" w:rsidP="0053056D">
      <w:pPr>
        <w:spacing w:line="240" w:lineRule="auto"/>
        <w:jc w:val="both"/>
        <w:rPr>
          <w:lang w:val="en-GB"/>
        </w:rPr>
      </w:pPr>
      <w:r w:rsidRPr="00DE39B5">
        <w:rPr>
          <w:b/>
          <w:bCs/>
          <w:i/>
          <w:iCs/>
          <w:lang w:val="en-GB"/>
        </w:rPr>
        <w:t xml:space="preserve">A. The process for preparing and enacting laws </w:t>
      </w:r>
    </w:p>
    <w:p w:rsidR="001B7CA2" w:rsidRDefault="001B7CA2" w:rsidP="0053056D">
      <w:pPr>
        <w:spacing w:line="240" w:lineRule="auto"/>
        <w:jc w:val="both"/>
        <w:rPr>
          <w:i/>
          <w:iCs/>
          <w:lang w:val="en-GB"/>
        </w:rPr>
      </w:pPr>
      <w:r w:rsidRPr="00DE39B5">
        <w:rPr>
          <w:i/>
          <w:iCs/>
          <w:lang w:val="en-GB"/>
        </w:rPr>
        <w:t xml:space="preserve">38. Framework, policy and use of impact assessments, stakeholders'/public consultations (particularly consultation of judiciary on judicial reforms), and transparency and quality of the legislative process </w:t>
      </w:r>
    </w:p>
    <w:p w:rsidR="00B654DC" w:rsidRDefault="00486444" w:rsidP="0053056D">
      <w:pPr>
        <w:spacing w:line="240" w:lineRule="auto"/>
        <w:jc w:val="both"/>
        <w:rPr>
          <w:lang w:val="en-GB"/>
        </w:rPr>
      </w:pPr>
      <w:r>
        <w:rPr>
          <w:lang w:val="en-GB"/>
        </w:rPr>
        <w:t>To guarantee the right of the child to have his or her best interests taken as a primary consideration, the UN Committee on the Rights of the Child recommended Portugal in its 2019 concluding observations to e</w:t>
      </w:r>
      <w:r w:rsidRPr="00486444">
        <w:rPr>
          <w:lang w:val="en-GB"/>
        </w:rPr>
        <w:t>stablish compulsory processes for ex-ante and ex-post impact assessments of all laws and policies relevant to children on the realization of the right of the child to have his or her best interests t</w:t>
      </w:r>
      <w:r w:rsidR="00F71D03">
        <w:rPr>
          <w:lang w:val="en-GB"/>
        </w:rPr>
        <w:t>aken as a primary consideration</w:t>
      </w:r>
      <w:r>
        <w:rPr>
          <w:lang w:val="en-GB"/>
        </w:rPr>
        <w:t xml:space="preserve">, </w:t>
      </w:r>
      <w:hyperlink r:id="rId21" w:history="1">
        <w:r w:rsidR="0047537D" w:rsidRPr="0047537D">
          <w:rPr>
            <w:rStyle w:val="Hyperlink"/>
            <w:lang w:val="en-GB"/>
          </w:rPr>
          <w:t>CRC/C/PRT/CO/5-6</w:t>
        </w:r>
      </w:hyperlink>
      <w:r w:rsidR="0047537D">
        <w:rPr>
          <w:lang w:val="en-GB"/>
        </w:rPr>
        <w:t xml:space="preserve">, </w:t>
      </w:r>
      <w:r>
        <w:rPr>
          <w:lang w:val="en-GB"/>
        </w:rPr>
        <w:t xml:space="preserve">para 18c). </w:t>
      </w:r>
    </w:p>
    <w:p w:rsidR="00B654DC" w:rsidRPr="00486444" w:rsidRDefault="00B654DC" w:rsidP="0053056D">
      <w:pPr>
        <w:spacing w:line="240" w:lineRule="auto"/>
        <w:jc w:val="both"/>
        <w:rPr>
          <w:lang w:val="en-GB"/>
        </w:rPr>
      </w:pPr>
      <w:r>
        <w:rPr>
          <w:lang w:val="en-GB"/>
        </w:rPr>
        <w:t xml:space="preserve">To guarantee the </w:t>
      </w:r>
      <w:r w:rsidRPr="0069410B">
        <w:rPr>
          <w:lang w:val="en-GB"/>
        </w:rPr>
        <w:t>right of the child to be heard into legislation on the civil protection process</w:t>
      </w:r>
      <w:r>
        <w:rPr>
          <w:lang w:val="en-GB"/>
        </w:rPr>
        <w:t>, i</w:t>
      </w:r>
      <w:r w:rsidRPr="00693FA6">
        <w:rPr>
          <w:lang w:val="en-GB"/>
        </w:rPr>
        <w:t>n its 2019 concluding observation</w:t>
      </w:r>
      <w:r>
        <w:rPr>
          <w:lang w:val="en-GB"/>
        </w:rPr>
        <w:t xml:space="preserve">s, the </w:t>
      </w:r>
      <w:r w:rsidRPr="00693FA6">
        <w:rPr>
          <w:lang w:val="en-GB"/>
        </w:rPr>
        <w:t>UN Committee on the Rights of the Child recommended</w:t>
      </w:r>
      <w:r>
        <w:rPr>
          <w:lang w:val="en-GB"/>
        </w:rPr>
        <w:t xml:space="preserve"> Portugal to d</w:t>
      </w:r>
      <w:r w:rsidRPr="00B654DC">
        <w:rPr>
          <w:lang w:val="en-GB"/>
        </w:rPr>
        <w:t>evelop toolkits for the consultation of children on national policy developments that affect them so as to standardize such consultations at a high level of inclusiveness and participation</w:t>
      </w:r>
      <w:r w:rsidR="0047537D">
        <w:rPr>
          <w:lang w:val="en-GB"/>
        </w:rPr>
        <w:t xml:space="preserve"> (</w:t>
      </w:r>
      <w:hyperlink r:id="rId22" w:history="1">
        <w:r w:rsidR="0047537D" w:rsidRPr="0047537D">
          <w:rPr>
            <w:rStyle w:val="Hyperlink"/>
            <w:lang w:val="en-GB"/>
          </w:rPr>
          <w:t>CRC/C/PRT/CO/5-6</w:t>
        </w:r>
      </w:hyperlink>
      <w:r>
        <w:rPr>
          <w:lang w:val="en-GB"/>
        </w:rPr>
        <w:t>, para 20d).</w:t>
      </w:r>
    </w:p>
    <w:p w:rsidR="00EF4DF8" w:rsidRDefault="001B7CA2" w:rsidP="0053056D">
      <w:pPr>
        <w:spacing w:line="240" w:lineRule="auto"/>
        <w:jc w:val="both"/>
        <w:rPr>
          <w:i/>
          <w:iCs/>
          <w:lang w:val="en-GB"/>
        </w:rPr>
      </w:pPr>
      <w:r w:rsidRPr="00DE39B5">
        <w:rPr>
          <w:i/>
          <w:iCs/>
          <w:lang w:val="en-GB"/>
        </w:rPr>
        <w:t xml:space="preserve">39. Rules and use of fast-track procedures and emergency procedures (for example, the percentage of decisions adopted through emergency/urgent procedure compared to the total number of adopted decisions) </w:t>
      </w:r>
    </w:p>
    <w:p w:rsidR="001B7CA2" w:rsidRPr="00DE39B5" w:rsidRDefault="001B7CA2" w:rsidP="0053056D">
      <w:pPr>
        <w:spacing w:line="240" w:lineRule="auto"/>
        <w:jc w:val="both"/>
        <w:rPr>
          <w:lang w:val="en-GB"/>
        </w:rPr>
      </w:pPr>
      <w:r w:rsidRPr="00DE39B5">
        <w:rPr>
          <w:i/>
          <w:iCs/>
          <w:lang w:val="en-GB"/>
        </w:rPr>
        <w:t xml:space="preserve">40. Regime for constitutional review of laws </w:t>
      </w:r>
    </w:p>
    <w:p w:rsidR="001B7CA2" w:rsidRPr="00DE39B5" w:rsidRDefault="001B7CA2" w:rsidP="00A37EF9">
      <w:pPr>
        <w:spacing w:line="240" w:lineRule="auto"/>
        <w:rPr>
          <w:lang w:val="en-GB"/>
        </w:rPr>
      </w:pPr>
      <w:r w:rsidRPr="00DE39B5">
        <w:rPr>
          <w:i/>
          <w:iCs/>
          <w:lang w:val="en-GB"/>
        </w:rPr>
        <w:t xml:space="preserve">41. COVID-19: provide update on significant developments with regard to emergency regimes in the context of the COVID-19 pandemic </w:t>
      </w:r>
    </w:p>
    <w:p w:rsidR="001B7CA2" w:rsidRPr="00DE39B5" w:rsidRDefault="001B7CA2" w:rsidP="0053056D">
      <w:pPr>
        <w:spacing w:line="240" w:lineRule="auto"/>
        <w:jc w:val="both"/>
        <w:rPr>
          <w:lang w:val="en-GB"/>
        </w:rPr>
      </w:pPr>
      <w:r w:rsidRPr="00DE39B5">
        <w:rPr>
          <w:lang w:val="en-GB"/>
        </w:rPr>
        <w:t xml:space="preserve">- </w:t>
      </w:r>
      <w:r w:rsidRPr="00DE39B5">
        <w:rPr>
          <w:i/>
          <w:iCs/>
          <w:lang w:val="en-GB"/>
        </w:rPr>
        <w:t xml:space="preserve">judicial review (including constitutional review) of emergency regimes and measures in the context of COVID-19 pandemic </w:t>
      </w:r>
    </w:p>
    <w:p w:rsidR="001B7CA2" w:rsidRPr="00DE39B5" w:rsidRDefault="001B7CA2" w:rsidP="0053056D">
      <w:pPr>
        <w:spacing w:line="240" w:lineRule="auto"/>
        <w:jc w:val="both"/>
        <w:rPr>
          <w:lang w:val="en-GB"/>
        </w:rPr>
      </w:pPr>
      <w:r w:rsidRPr="00DE39B5">
        <w:rPr>
          <w:lang w:val="en-GB"/>
        </w:rPr>
        <w:t xml:space="preserve">- </w:t>
      </w:r>
      <w:r w:rsidRPr="00DE39B5">
        <w:rPr>
          <w:i/>
          <w:iCs/>
          <w:lang w:val="en-GB"/>
        </w:rPr>
        <w:t xml:space="preserve">oversight by Parliament of emergency regimes and measures in the context of COVID-19 pandemic </w:t>
      </w:r>
    </w:p>
    <w:p w:rsidR="001B7CA2" w:rsidRPr="00DE39B5" w:rsidRDefault="001B7CA2" w:rsidP="0053056D">
      <w:pPr>
        <w:spacing w:line="240" w:lineRule="auto"/>
        <w:jc w:val="both"/>
        <w:rPr>
          <w:lang w:val="en-GB"/>
        </w:rPr>
      </w:pPr>
      <w:r w:rsidRPr="00DE39B5">
        <w:rPr>
          <w:lang w:val="en-GB"/>
        </w:rPr>
        <w:t xml:space="preserve">- </w:t>
      </w:r>
      <w:r w:rsidRPr="00DE39B5">
        <w:rPr>
          <w:i/>
          <w:iCs/>
          <w:lang w:val="en-GB"/>
        </w:rPr>
        <w:t xml:space="preserve">measures taken to ensure the continued activity of Parliament (including possible best practices) </w:t>
      </w:r>
    </w:p>
    <w:p w:rsidR="001B7CA2" w:rsidRPr="00DE39B5" w:rsidRDefault="001B7CA2" w:rsidP="0053056D">
      <w:pPr>
        <w:spacing w:line="240" w:lineRule="auto"/>
        <w:jc w:val="both"/>
        <w:rPr>
          <w:lang w:val="en-GB"/>
        </w:rPr>
      </w:pPr>
      <w:r w:rsidRPr="00DE39B5">
        <w:rPr>
          <w:b/>
          <w:bCs/>
          <w:i/>
          <w:iCs/>
          <w:lang w:val="en-GB"/>
        </w:rPr>
        <w:t xml:space="preserve">B. Independent authorities </w:t>
      </w:r>
    </w:p>
    <w:p w:rsidR="00544F2E" w:rsidRDefault="001B7CA2" w:rsidP="0053056D">
      <w:pPr>
        <w:spacing w:line="240" w:lineRule="auto"/>
        <w:jc w:val="both"/>
        <w:rPr>
          <w:i/>
          <w:iCs/>
          <w:lang w:val="en-GB"/>
        </w:rPr>
      </w:pPr>
      <w:r w:rsidRPr="00DE39B5">
        <w:rPr>
          <w:i/>
          <w:iCs/>
          <w:lang w:val="en-GB"/>
        </w:rPr>
        <w:t>42. Independence, capacity and powers of national human rights institutions (‘NHRIs’), of ombudsman institutions if different from NHRIs, of equality bodies if different from NHRIs and of supreme audit institutions</w:t>
      </w:r>
    </w:p>
    <w:p w:rsidR="00704504" w:rsidRDefault="00704504" w:rsidP="00704504">
      <w:pPr>
        <w:spacing w:line="240" w:lineRule="auto"/>
        <w:jc w:val="both"/>
        <w:rPr>
          <w:rFonts w:ascii="Calibri" w:hAnsi="Calibri" w:cs="Calibri"/>
          <w:lang w:val="en-GB"/>
        </w:rPr>
      </w:pPr>
      <w:r w:rsidRPr="000E7215">
        <w:rPr>
          <w:rFonts w:ascii="Calibri" w:hAnsi="Calibri" w:cs="Calibri"/>
          <w:lang w:val="en-GB"/>
        </w:rPr>
        <w:t>In 2018, Portugal support</w:t>
      </w:r>
      <w:r w:rsidR="005857F9">
        <w:rPr>
          <w:rFonts w:ascii="Calibri" w:hAnsi="Calibri" w:cs="Calibri"/>
          <w:lang w:val="en-GB"/>
        </w:rPr>
        <w:t>ed</w:t>
      </w:r>
      <w:r w:rsidRPr="000E7215">
        <w:rPr>
          <w:rFonts w:ascii="Calibri" w:hAnsi="Calibri" w:cs="Calibri"/>
          <w:lang w:val="en-GB"/>
        </w:rPr>
        <w:t xml:space="preserve"> several recommendations from the Universal Periodic Review </w:t>
      </w:r>
      <w:r w:rsidR="004B18FF">
        <w:rPr>
          <w:rFonts w:ascii="Calibri" w:hAnsi="Calibri" w:cs="Calibri"/>
          <w:lang w:val="en-GB"/>
        </w:rPr>
        <w:t xml:space="preserve">recommending to provide </w:t>
      </w:r>
      <w:r w:rsidRPr="004B18FF">
        <w:rPr>
          <w:rFonts w:ascii="Calibri" w:hAnsi="Calibri" w:cs="Calibri"/>
          <w:lang w:val="en-GB"/>
        </w:rPr>
        <w:t>Office of the Ombudsman</w:t>
      </w:r>
      <w:r w:rsidR="004B18FF">
        <w:rPr>
          <w:rFonts w:ascii="Calibri" w:hAnsi="Calibri" w:cs="Calibri"/>
          <w:lang w:val="en-GB"/>
        </w:rPr>
        <w:t>, which is the national human rights institution,</w:t>
      </w:r>
      <w:r w:rsidRPr="004B18FF">
        <w:rPr>
          <w:rFonts w:ascii="Calibri" w:hAnsi="Calibri" w:cs="Calibri"/>
          <w:lang w:val="en-GB"/>
        </w:rPr>
        <w:t xml:space="preserve"> </w:t>
      </w:r>
      <w:r w:rsidR="004B18FF">
        <w:rPr>
          <w:rFonts w:ascii="Calibri" w:hAnsi="Calibri" w:cs="Calibri"/>
          <w:lang w:val="en-GB"/>
        </w:rPr>
        <w:t xml:space="preserve">with appropriate financial, material and human </w:t>
      </w:r>
      <w:r w:rsidRPr="00F71D03">
        <w:rPr>
          <w:rFonts w:ascii="Calibri" w:hAnsi="Calibri" w:cs="Calibri"/>
          <w:lang w:val="en-GB"/>
        </w:rPr>
        <w:t>resources</w:t>
      </w:r>
      <w:r w:rsidR="00967522">
        <w:rPr>
          <w:rFonts w:ascii="Calibri" w:hAnsi="Calibri" w:cs="Calibri"/>
          <w:lang w:val="en-GB"/>
        </w:rPr>
        <w:t xml:space="preserve"> (</w:t>
      </w:r>
      <w:hyperlink r:id="rId23" w:history="1">
        <w:r w:rsidRPr="000E7215">
          <w:rPr>
            <w:rStyle w:val="Hyperlink"/>
            <w:rFonts w:ascii="Calibri" w:hAnsi="Calibri" w:cs="Calibri"/>
            <w:lang w:val="en-GB"/>
          </w:rPr>
          <w:t>A/HRC/42/7</w:t>
        </w:r>
      </w:hyperlink>
      <w:r w:rsidRPr="000E7215">
        <w:rPr>
          <w:rFonts w:ascii="Calibri" w:hAnsi="Calibri" w:cs="Calibri"/>
          <w:lang w:val="en-GB"/>
        </w:rPr>
        <w:t xml:space="preserve">, para 137). </w:t>
      </w:r>
    </w:p>
    <w:p w:rsidR="00704504" w:rsidRDefault="00704504" w:rsidP="00704504">
      <w:pPr>
        <w:spacing w:line="240" w:lineRule="auto"/>
        <w:jc w:val="both"/>
        <w:rPr>
          <w:rFonts w:ascii="Calibri" w:hAnsi="Calibri" w:cs="Calibri"/>
          <w:lang w:val="en-GB"/>
        </w:rPr>
      </w:pPr>
      <w:r>
        <w:rPr>
          <w:rFonts w:ascii="Calibri" w:hAnsi="Calibri" w:cs="Calibri"/>
          <w:lang w:val="en-GB"/>
        </w:rPr>
        <w:t>These concerns were also raised by several UN mechanisms</w:t>
      </w:r>
      <w:r w:rsidR="00967522">
        <w:rPr>
          <w:rFonts w:ascii="Calibri" w:hAnsi="Calibri" w:cs="Calibri"/>
          <w:lang w:val="en-GB"/>
        </w:rPr>
        <w:t xml:space="preserve"> and the UN High Commiss</w:t>
      </w:r>
      <w:r w:rsidR="003279DD">
        <w:rPr>
          <w:rFonts w:ascii="Calibri" w:hAnsi="Calibri" w:cs="Calibri"/>
          <w:lang w:val="en-GB"/>
        </w:rPr>
        <w:t>ione</w:t>
      </w:r>
      <w:r w:rsidR="00967522">
        <w:rPr>
          <w:rFonts w:ascii="Calibri" w:hAnsi="Calibri" w:cs="Calibri"/>
          <w:lang w:val="en-GB"/>
        </w:rPr>
        <w:t xml:space="preserve">r for Human Right in her letter following the </w:t>
      </w:r>
      <w:r w:rsidR="00967522" w:rsidRPr="00C0625A">
        <w:rPr>
          <w:rFonts w:ascii="Calibri" w:hAnsi="Calibri" w:cs="Calibri"/>
          <w:lang w:val="en-US"/>
        </w:rPr>
        <w:t>third cycle of UPR of Portugal</w:t>
      </w:r>
      <w:r>
        <w:rPr>
          <w:rFonts w:ascii="Calibri" w:hAnsi="Calibri" w:cs="Calibri"/>
          <w:lang w:val="en-GB"/>
        </w:rPr>
        <w:t xml:space="preserve">. In 2018, the </w:t>
      </w:r>
      <w:r w:rsidRPr="000E7215">
        <w:rPr>
          <w:rFonts w:ascii="Calibri" w:hAnsi="Calibri" w:cs="Calibri"/>
          <w:lang w:val="en-GB"/>
        </w:rPr>
        <w:t xml:space="preserve">UN Committee on Enforced Disappearances </w:t>
      </w:r>
      <w:r>
        <w:rPr>
          <w:rFonts w:ascii="Calibri" w:hAnsi="Calibri" w:cs="Calibri"/>
          <w:lang w:val="en-GB"/>
        </w:rPr>
        <w:t xml:space="preserve">in its concluding observations </w:t>
      </w:r>
      <w:r w:rsidRPr="000E7215">
        <w:rPr>
          <w:rFonts w:ascii="Calibri" w:hAnsi="Calibri" w:cs="Calibri"/>
          <w:lang w:val="en-GB"/>
        </w:rPr>
        <w:t xml:space="preserve">recommended </w:t>
      </w:r>
      <w:r>
        <w:rPr>
          <w:rFonts w:ascii="Calibri" w:hAnsi="Calibri" w:cs="Calibri"/>
          <w:lang w:val="en-GB"/>
        </w:rPr>
        <w:t xml:space="preserve">Portugal </w:t>
      </w:r>
      <w:r w:rsidRPr="000E7215">
        <w:rPr>
          <w:rFonts w:ascii="Calibri" w:hAnsi="Calibri" w:cs="Calibri"/>
          <w:lang w:val="en-GB"/>
        </w:rPr>
        <w:t>to ensure that the Ombudsman is provided with the necessary financial, material and human resources to effectively and independently carry out its mandate, including that as national preventive mechanism</w:t>
      </w:r>
      <w:r>
        <w:rPr>
          <w:rFonts w:ascii="Calibri" w:hAnsi="Calibri" w:cs="Calibri"/>
          <w:lang w:val="en-GB"/>
        </w:rPr>
        <w:t xml:space="preserve"> </w:t>
      </w:r>
      <w:r w:rsidRPr="000E7215">
        <w:rPr>
          <w:rFonts w:ascii="Calibri" w:hAnsi="Calibri" w:cs="Calibri"/>
          <w:lang w:val="en-GB"/>
        </w:rPr>
        <w:t>under the Optional Protocol to the Convention against Torture and other Cruel, Inhuman or De</w:t>
      </w:r>
      <w:r w:rsidR="00967522">
        <w:rPr>
          <w:rFonts w:ascii="Calibri" w:hAnsi="Calibri" w:cs="Calibri"/>
          <w:lang w:val="en-GB"/>
        </w:rPr>
        <w:t>grading Treatment or Punishment (</w:t>
      </w:r>
      <w:hyperlink r:id="rId24" w:history="1">
        <w:r w:rsidRPr="000E7215">
          <w:rPr>
            <w:rStyle w:val="Hyperlink"/>
            <w:rFonts w:ascii="Calibri" w:hAnsi="Calibri" w:cs="Calibri"/>
            <w:lang w:val="en-GB"/>
          </w:rPr>
          <w:t>CED/C/PRT/CO/1</w:t>
        </w:r>
      </w:hyperlink>
      <w:r w:rsidRPr="000E7215">
        <w:rPr>
          <w:rFonts w:ascii="Calibri" w:hAnsi="Calibri" w:cs="Calibri"/>
          <w:lang w:val="en-GB"/>
        </w:rPr>
        <w:t>, para 10, 11). The concerns were shared by the Subcommittee on Prevention of Torture and Other Cruel, Inhuman or Degrading Treatment or Punishment on its visit to Portugal undertaken from 1 to 10 May 2018</w:t>
      </w:r>
      <w:r w:rsidR="00967522">
        <w:rPr>
          <w:rFonts w:ascii="Calibri" w:hAnsi="Calibri" w:cs="Calibri"/>
          <w:lang w:val="en-GB"/>
        </w:rPr>
        <w:t xml:space="preserve"> (</w:t>
      </w:r>
      <w:hyperlink r:id="rId25" w:history="1">
        <w:r w:rsidRPr="000E7215">
          <w:rPr>
            <w:rStyle w:val="Hyperlink"/>
            <w:rFonts w:ascii="Calibri" w:hAnsi="Calibri" w:cs="Calibri"/>
            <w:lang w:val="en-GB"/>
          </w:rPr>
          <w:t>CAT/OP/PRT/1</w:t>
        </w:r>
      </w:hyperlink>
      <w:r w:rsidRPr="000E7215">
        <w:rPr>
          <w:rFonts w:ascii="Calibri" w:hAnsi="Calibri" w:cs="Calibri"/>
          <w:lang w:val="en-GB"/>
        </w:rPr>
        <w:t>, para 16, 17)</w:t>
      </w:r>
      <w:r>
        <w:rPr>
          <w:rFonts w:ascii="Calibri" w:hAnsi="Calibri" w:cs="Calibri"/>
          <w:lang w:val="en-GB"/>
        </w:rPr>
        <w:t>, and</w:t>
      </w:r>
      <w:r w:rsidRPr="000E7215">
        <w:rPr>
          <w:rFonts w:ascii="Calibri" w:hAnsi="Calibri" w:cs="Calibri"/>
          <w:lang w:val="en-GB"/>
        </w:rPr>
        <w:t xml:space="preserve"> </w:t>
      </w:r>
      <w:r>
        <w:rPr>
          <w:rFonts w:ascii="Calibri" w:hAnsi="Calibri" w:cs="Calibri"/>
          <w:lang w:val="en-GB"/>
        </w:rPr>
        <w:t xml:space="preserve">the </w:t>
      </w:r>
      <w:r w:rsidRPr="000E7215">
        <w:rPr>
          <w:rFonts w:ascii="Calibri" w:hAnsi="Calibri" w:cs="Calibri"/>
          <w:lang w:val="en-GB"/>
        </w:rPr>
        <w:t>UN Human Rights Committee in its concluding observations</w:t>
      </w:r>
      <w:r w:rsidR="00967522">
        <w:rPr>
          <w:rFonts w:ascii="Calibri" w:hAnsi="Calibri" w:cs="Calibri"/>
          <w:lang w:val="en-GB"/>
        </w:rPr>
        <w:t xml:space="preserve"> in 2020 (</w:t>
      </w:r>
      <w:hyperlink r:id="rId26" w:history="1">
        <w:r w:rsidRPr="000E7215">
          <w:rPr>
            <w:rStyle w:val="Hyperlink"/>
            <w:rFonts w:ascii="Calibri" w:hAnsi="Calibri" w:cs="Calibri"/>
            <w:lang w:val="en-GB"/>
          </w:rPr>
          <w:t>CCPR/C/PRT/CO/5</w:t>
        </w:r>
      </w:hyperlink>
      <w:r w:rsidRPr="000E7215">
        <w:rPr>
          <w:rFonts w:ascii="Calibri" w:hAnsi="Calibri" w:cs="Calibri"/>
          <w:lang w:val="en-GB"/>
        </w:rPr>
        <w:t>, para 6, 7).</w:t>
      </w:r>
    </w:p>
    <w:p w:rsidR="00704504" w:rsidRDefault="00704504" w:rsidP="00704504">
      <w:pPr>
        <w:spacing w:line="240" w:lineRule="auto"/>
        <w:jc w:val="both"/>
        <w:rPr>
          <w:rFonts w:ascii="Calibri" w:hAnsi="Calibri" w:cs="Calibri"/>
          <w:lang w:val="en-GB"/>
        </w:rPr>
      </w:pPr>
      <w:r>
        <w:rPr>
          <w:rFonts w:ascii="Calibri" w:hAnsi="Calibri" w:cs="Calibri"/>
          <w:lang w:val="en-GB"/>
        </w:rPr>
        <w:t xml:space="preserve">In 2019, </w:t>
      </w:r>
      <w:r w:rsidRPr="000E7215">
        <w:rPr>
          <w:rFonts w:ascii="Calibri" w:hAnsi="Calibri" w:cs="Calibri"/>
          <w:lang w:val="en-GB"/>
        </w:rPr>
        <w:t xml:space="preserve">the UN Committee on the Rights of the Child </w:t>
      </w:r>
      <w:r>
        <w:rPr>
          <w:rFonts w:ascii="Calibri" w:hAnsi="Calibri" w:cs="Calibri"/>
          <w:lang w:val="en-GB"/>
        </w:rPr>
        <w:t>i</w:t>
      </w:r>
      <w:r w:rsidRPr="000E7215">
        <w:rPr>
          <w:rFonts w:ascii="Calibri" w:hAnsi="Calibri" w:cs="Calibri"/>
          <w:lang w:val="en-GB"/>
        </w:rPr>
        <w:t>n its concluding observations</w:t>
      </w:r>
      <w:r>
        <w:rPr>
          <w:rFonts w:ascii="Calibri" w:hAnsi="Calibri" w:cs="Calibri"/>
          <w:lang w:val="en-GB"/>
        </w:rPr>
        <w:t xml:space="preserve"> recommended the State party as well to ensure </w:t>
      </w:r>
      <w:r w:rsidRPr="000E7215">
        <w:rPr>
          <w:rFonts w:ascii="Calibri" w:hAnsi="Calibri" w:cs="Calibri"/>
          <w:lang w:val="en-GB"/>
        </w:rPr>
        <w:t>adequate human, technical and financial resources to the Office of the Ombudsman for the effective implementation of its mandated functions</w:t>
      </w:r>
      <w:r>
        <w:rPr>
          <w:rFonts w:ascii="Calibri" w:hAnsi="Calibri" w:cs="Calibri"/>
          <w:lang w:val="en-GB"/>
        </w:rPr>
        <w:t xml:space="preserve">. Further, it recommended </w:t>
      </w:r>
      <w:r w:rsidRPr="000E7215">
        <w:rPr>
          <w:rFonts w:ascii="Calibri" w:hAnsi="Calibri" w:cs="Calibri"/>
          <w:lang w:val="en-GB"/>
        </w:rPr>
        <w:t>to designate a specific mechanism within the Office of the Ombudsman for monitoring children’s rights</w:t>
      </w:r>
      <w:r>
        <w:rPr>
          <w:rFonts w:ascii="Calibri" w:hAnsi="Calibri" w:cs="Calibri"/>
          <w:lang w:val="en-GB"/>
        </w:rPr>
        <w:t xml:space="preserve">, </w:t>
      </w:r>
      <w:r w:rsidRPr="000E7215">
        <w:rPr>
          <w:rFonts w:ascii="Calibri" w:hAnsi="Calibri" w:cs="Calibri"/>
          <w:lang w:val="en-GB"/>
        </w:rPr>
        <w:t>and to raise awareness among the general public, and children in particular, and support the awareness-raising efforts carried out by the Office of the Ombudsman on the right to file a complaint directly with the Ombudsman</w:t>
      </w:r>
      <w:r w:rsidR="00967522">
        <w:rPr>
          <w:rFonts w:ascii="Calibri" w:hAnsi="Calibri" w:cs="Calibri"/>
          <w:lang w:val="en-GB"/>
        </w:rPr>
        <w:t xml:space="preserve"> </w:t>
      </w:r>
      <w:r w:rsidR="00967522" w:rsidRPr="00967522">
        <w:rPr>
          <w:rFonts w:ascii="Calibri" w:hAnsi="Calibri" w:cs="Calibri"/>
          <w:iCs/>
          <w:lang w:val="en-GB"/>
        </w:rPr>
        <w:t>(</w:t>
      </w:r>
      <w:hyperlink r:id="rId27" w:history="1">
        <w:r w:rsidR="00967522" w:rsidRPr="00967522">
          <w:rPr>
            <w:rStyle w:val="Hyperlink"/>
            <w:rFonts w:ascii="Calibri" w:hAnsi="Calibri" w:cs="Calibri"/>
            <w:iCs/>
            <w:lang w:val="en-GB"/>
          </w:rPr>
          <w:t>CRC/C/PRT/CO/5-6</w:t>
        </w:r>
      </w:hyperlink>
      <w:r w:rsidR="00967522">
        <w:rPr>
          <w:rFonts w:ascii="Calibri" w:hAnsi="Calibri" w:cs="Calibri"/>
          <w:lang w:val="en-GB"/>
        </w:rPr>
        <w:t xml:space="preserve">, </w:t>
      </w:r>
      <w:r w:rsidRPr="000E7215">
        <w:rPr>
          <w:rFonts w:ascii="Calibri" w:hAnsi="Calibri" w:cs="Calibri"/>
          <w:lang w:val="en-GB"/>
        </w:rPr>
        <w:t>para 12).</w:t>
      </w:r>
    </w:p>
    <w:p w:rsidR="001B7CA2" w:rsidRPr="00DE39B5" w:rsidRDefault="001B7CA2" w:rsidP="0053056D">
      <w:pPr>
        <w:spacing w:line="240" w:lineRule="auto"/>
        <w:jc w:val="both"/>
        <w:rPr>
          <w:lang w:val="en-GB"/>
        </w:rPr>
      </w:pPr>
      <w:r w:rsidRPr="00DE39B5">
        <w:rPr>
          <w:b/>
          <w:bCs/>
          <w:i/>
          <w:iCs/>
          <w:lang w:val="en-GB"/>
        </w:rPr>
        <w:t xml:space="preserve">C. Accessibility and judicial review of administrative decisions </w:t>
      </w:r>
    </w:p>
    <w:p w:rsidR="001B7CA2" w:rsidRDefault="001B7CA2" w:rsidP="0053056D">
      <w:pPr>
        <w:spacing w:line="240" w:lineRule="auto"/>
        <w:jc w:val="both"/>
        <w:rPr>
          <w:i/>
          <w:iCs/>
          <w:lang w:val="en-GB"/>
        </w:rPr>
      </w:pPr>
      <w:r w:rsidRPr="00DE39B5">
        <w:rPr>
          <w:i/>
          <w:iCs/>
          <w:lang w:val="en-GB"/>
        </w:rPr>
        <w:t xml:space="preserve">43. Transparency of administrative decisions and sanctions (incl. their publication and rules on collection of related data) and judicial review (incl. scope, suspensive effect) </w:t>
      </w:r>
    </w:p>
    <w:p w:rsidR="0047537D" w:rsidRPr="0047537D" w:rsidRDefault="0047537D" w:rsidP="0047537D">
      <w:pPr>
        <w:spacing w:line="240" w:lineRule="auto"/>
        <w:jc w:val="both"/>
        <w:rPr>
          <w:iCs/>
          <w:lang w:val="en-GB"/>
        </w:rPr>
      </w:pPr>
      <w:r w:rsidRPr="0047537D">
        <w:rPr>
          <w:iCs/>
          <w:lang w:val="en-GB"/>
        </w:rPr>
        <w:t xml:space="preserve">In its 2019 concluding observations, the UN Committee on the Rights of the Child expressed concern about the weaknesses in policy and practice relating to legal representation and guardianship of unaccompanied and separated children during refugee determination processes. The Committee recommended Portugal to strengthen policies and practices to improve the identification and registration of unaccompanied and separated children, including through ensuring that they are provided with effective legal representation and an independent guardian immediately after </w:t>
      </w:r>
      <w:r>
        <w:rPr>
          <w:iCs/>
          <w:lang w:val="en-GB"/>
        </w:rPr>
        <w:t>they have been identified (</w:t>
      </w:r>
      <w:hyperlink r:id="rId28" w:history="1">
        <w:r w:rsidRPr="0047537D">
          <w:rPr>
            <w:rStyle w:val="Hyperlink"/>
            <w:iCs/>
            <w:lang w:val="en-GB"/>
          </w:rPr>
          <w:t>CRC/C/PRT/CO/5-6</w:t>
        </w:r>
      </w:hyperlink>
      <w:r w:rsidRPr="0047537D">
        <w:rPr>
          <w:iCs/>
          <w:lang w:val="en-GB"/>
        </w:rPr>
        <w:t xml:space="preserve">, para 41, 42). </w:t>
      </w:r>
    </w:p>
    <w:p w:rsidR="0047537D" w:rsidRPr="0047537D" w:rsidRDefault="0047537D" w:rsidP="0047537D">
      <w:pPr>
        <w:spacing w:line="240" w:lineRule="auto"/>
        <w:jc w:val="both"/>
        <w:rPr>
          <w:iCs/>
          <w:lang w:val="en-GB"/>
        </w:rPr>
      </w:pPr>
      <w:r w:rsidRPr="0047537D">
        <w:rPr>
          <w:iCs/>
          <w:lang w:val="en-GB"/>
        </w:rPr>
        <w:t xml:space="preserve">In its 2019 concluding observations, the UN Committee against Torture had similarly expressed concern about access by lawyers to individuals held in detention facilities at airports, noting that entrance fee for the airport terminal, charged by a private company, impeded such access. The Committee recommended Portugal to refrain from retaining asylum seekers and irregular migrants for prolonged periods, and to guarantee that </w:t>
      </w:r>
      <w:commentRangeStart w:id="0"/>
      <w:r w:rsidRPr="0047537D">
        <w:rPr>
          <w:iCs/>
          <w:lang w:val="en-GB"/>
        </w:rPr>
        <w:t xml:space="preserve">individuals retained </w:t>
      </w:r>
      <w:commentRangeEnd w:id="0"/>
      <w:r w:rsidRPr="0047537D">
        <w:rPr>
          <w:iCs/>
          <w:lang w:val="en-GB"/>
        </w:rPr>
        <w:t>have unhindered, prompt and adequate access to counsel, in</w:t>
      </w:r>
      <w:r>
        <w:rPr>
          <w:iCs/>
          <w:lang w:val="en-GB"/>
        </w:rPr>
        <w:t>cluding legal aid services (</w:t>
      </w:r>
      <w:hyperlink r:id="rId29" w:history="1">
        <w:r w:rsidRPr="0047537D">
          <w:rPr>
            <w:rStyle w:val="Hyperlink"/>
            <w:iCs/>
            <w:lang w:val="en-GB"/>
          </w:rPr>
          <w:t>CAT/C/PRT/CO</w:t>
        </w:r>
        <w:r w:rsidRPr="0047537D">
          <w:rPr>
            <w:rStyle w:val="Hyperlink"/>
            <w:iCs/>
            <w:lang w:val="en-GB"/>
          </w:rPr>
          <w:t>/7</w:t>
        </w:r>
      </w:hyperlink>
      <w:r w:rsidRPr="0047537D">
        <w:rPr>
          <w:iCs/>
          <w:lang w:val="en-GB"/>
        </w:rPr>
        <w:t>, para 39, 40). The same concerns were shared by the UN Subcommittee on Prevention of Torture and Other Cruel, Inhuman or Degrading Treatment or Punishment after its 2018 visit to Portugal</w:t>
      </w:r>
      <w:r>
        <w:rPr>
          <w:iCs/>
          <w:lang w:val="en-GB"/>
        </w:rPr>
        <w:t xml:space="preserve"> (</w:t>
      </w:r>
      <w:hyperlink r:id="rId30" w:history="1">
        <w:r w:rsidRPr="0047537D">
          <w:rPr>
            <w:rStyle w:val="Hyperlink"/>
            <w:iCs/>
            <w:lang w:val="en-GB"/>
          </w:rPr>
          <w:t>CAT/OP/PRT/1</w:t>
        </w:r>
      </w:hyperlink>
      <w:r w:rsidRPr="0047537D">
        <w:rPr>
          <w:iCs/>
          <w:lang w:val="en-GB"/>
        </w:rPr>
        <w:t xml:space="preserve">, para 43).  </w:t>
      </w:r>
    </w:p>
    <w:p w:rsidR="0047537D" w:rsidRPr="0047537D" w:rsidRDefault="0047537D" w:rsidP="0053056D">
      <w:pPr>
        <w:spacing w:line="240" w:lineRule="auto"/>
        <w:jc w:val="both"/>
        <w:rPr>
          <w:lang w:val="en-GB"/>
        </w:rPr>
      </w:pPr>
    </w:p>
    <w:p w:rsidR="001B7CA2" w:rsidRPr="00DE39B5" w:rsidRDefault="001B7CA2" w:rsidP="0053056D">
      <w:pPr>
        <w:spacing w:line="240" w:lineRule="auto"/>
        <w:jc w:val="both"/>
        <w:rPr>
          <w:lang w:val="en-GB"/>
        </w:rPr>
      </w:pPr>
      <w:r w:rsidRPr="00DE39B5">
        <w:rPr>
          <w:i/>
          <w:iCs/>
          <w:lang w:val="en-GB"/>
        </w:rPr>
        <w:t xml:space="preserve">44. Implementation by the public administration and State institutions of final court decisions </w:t>
      </w:r>
    </w:p>
    <w:p w:rsidR="001B7CA2" w:rsidRPr="00DE39B5" w:rsidRDefault="001B7CA2" w:rsidP="0053056D">
      <w:pPr>
        <w:spacing w:line="240" w:lineRule="auto"/>
        <w:jc w:val="both"/>
        <w:rPr>
          <w:lang w:val="en-GB"/>
        </w:rPr>
      </w:pPr>
      <w:r w:rsidRPr="00DE39B5">
        <w:rPr>
          <w:b/>
          <w:bCs/>
          <w:i/>
          <w:iCs/>
          <w:lang w:val="en-GB"/>
        </w:rPr>
        <w:t xml:space="preserve">D. The enabling framework for civil society </w:t>
      </w:r>
    </w:p>
    <w:p w:rsidR="0082504F" w:rsidRDefault="001B7CA2" w:rsidP="0082504F">
      <w:pPr>
        <w:spacing w:line="240" w:lineRule="auto"/>
        <w:jc w:val="both"/>
        <w:rPr>
          <w:i/>
          <w:iCs/>
          <w:lang w:val="en-GB"/>
        </w:rPr>
      </w:pPr>
      <w:r w:rsidRPr="00DE39B5">
        <w:rPr>
          <w:i/>
          <w:iCs/>
          <w:lang w:val="en-GB"/>
        </w:rPr>
        <w:t xml:space="preserve">45. Measures regarding the framework for civil society organisations (e.g. access to funding, registration rules, measures capable of affecting the public perception of civil society organisations, etc.) </w:t>
      </w:r>
    </w:p>
    <w:p w:rsidR="001B7CA2" w:rsidRPr="0047537D" w:rsidRDefault="0082504F" w:rsidP="0047537D">
      <w:pPr>
        <w:jc w:val="both"/>
        <w:rPr>
          <w:lang w:val="en-GB"/>
        </w:rPr>
      </w:pPr>
      <w:r>
        <w:rPr>
          <w:rFonts w:eastAsia="Calibri" w:cstheme="minorHAnsi"/>
          <w:lang w:val="en-GB"/>
        </w:rPr>
        <w:t xml:space="preserve">In October 2020, several </w:t>
      </w:r>
      <w:r w:rsidR="003279DD">
        <w:rPr>
          <w:rFonts w:eastAsia="Calibri" w:cstheme="minorHAnsi"/>
          <w:lang w:val="en-GB"/>
        </w:rPr>
        <w:t xml:space="preserve">UN </w:t>
      </w:r>
      <w:r>
        <w:rPr>
          <w:rFonts w:eastAsia="Calibri" w:cstheme="minorHAnsi"/>
          <w:lang w:val="en-GB"/>
        </w:rPr>
        <w:t>Special Rapporteurs initiated a dialogue with Portugal on the case of</w:t>
      </w:r>
      <w:r w:rsidR="007F5168">
        <w:rPr>
          <w:rFonts w:eastAsia="Calibri" w:cstheme="minorHAnsi"/>
          <w:lang w:val="en-GB"/>
        </w:rPr>
        <w:t xml:space="preserve"> </w:t>
      </w:r>
      <w:r w:rsidR="007F5168" w:rsidRPr="00A37EF9">
        <w:rPr>
          <w:lang w:val="en-US"/>
        </w:rPr>
        <w:t>Mr</w:t>
      </w:r>
      <w:r w:rsidR="00FD5E83">
        <w:rPr>
          <w:lang w:val="en-US"/>
        </w:rPr>
        <w:t>. </w:t>
      </w:r>
      <w:r w:rsidR="007F5168" w:rsidRPr="00A37EF9">
        <w:rPr>
          <w:lang w:val="en-US"/>
        </w:rPr>
        <w:t>Mamadou Ba</w:t>
      </w:r>
      <w:r w:rsidR="007F5168" w:rsidRPr="00FD5E83">
        <w:rPr>
          <w:lang w:val="en-US"/>
        </w:rPr>
        <w:t xml:space="preserve">, </w:t>
      </w:r>
      <w:r>
        <w:rPr>
          <w:rFonts w:eastAsia="Calibri" w:cstheme="minorHAnsi"/>
          <w:lang w:val="en-GB"/>
        </w:rPr>
        <w:t>a human rights defender, o</w:t>
      </w:r>
      <w:r w:rsidRPr="009C2C2A">
        <w:rPr>
          <w:rFonts w:eastAsia="Calibri" w:cstheme="minorHAnsi"/>
          <w:lang w:val="en-GB"/>
        </w:rPr>
        <w:t>ne of the f</w:t>
      </w:r>
      <w:r w:rsidR="003279DD">
        <w:rPr>
          <w:rFonts w:eastAsia="Calibri" w:cstheme="minorHAnsi"/>
          <w:lang w:val="en-GB"/>
        </w:rPr>
        <w:t>o</w:t>
      </w:r>
      <w:r w:rsidRPr="009C2C2A">
        <w:rPr>
          <w:rFonts w:eastAsia="Calibri" w:cstheme="minorHAnsi"/>
          <w:lang w:val="en-GB"/>
        </w:rPr>
        <w:t>unding members of the European Network Against Racism (ENAR) and leader of SOS Racismo</w:t>
      </w:r>
      <w:r>
        <w:rPr>
          <w:rFonts w:eastAsia="Calibri" w:cstheme="minorHAnsi"/>
          <w:lang w:val="en-GB"/>
        </w:rPr>
        <w:t xml:space="preserve">. The defender had been the target of repeated </w:t>
      </w:r>
      <w:r w:rsidR="007F5168">
        <w:rPr>
          <w:rFonts w:eastAsia="Calibri" w:cstheme="minorHAnsi"/>
          <w:lang w:val="en-GB"/>
        </w:rPr>
        <w:t xml:space="preserve">and increasing </w:t>
      </w:r>
      <w:r w:rsidRPr="0082504F">
        <w:rPr>
          <w:rFonts w:eastAsia="Calibri" w:cstheme="minorHAnsi"/>
          <w:lang w:val="en-GB"/>
        </w:rPr>
        <w:t>racist harassment, intim</w:t>
      </w:r>
      <w:r>
        <w:rPr>
          <w:rFonts w:eastAsia="Calibri" w:cstheme="minorHAnsi"/>
          <w:lang w:val="en-GB"/>
        </w:rPr>
        <w:t xml:space="preserve">idation and </w:t>
      </w:r>
      <w:r w:rsidR="007F5168">
        <w:rPr>
          <w:rFonts w:eastAsia="Calibri" w:cstheme="minorHAnsi"/>
          <w:lang w:val="en-GB"/>
        </w:rPr>
        <w:t xml:space="preserve">threats since 2012, including several death threats against him and his family in 2020. This </w:t>
      </w:r>
      <w:r>
        <w:rPr>
          <w:rFonts w:eastAsia="Calibri" w:cstheme="minorHAnsi"/>
          <w:lang w:val="en-GB"/>
        </w:rPr>
        <w:t>eventually le</w:t>
      </w:r>
      <w:r w:rsidR="007F5168">
        <w:rPr>
          <w:rFonts w:eastAsia="Calibri" w:cstheme="minorHAnsi"/>
          <w:lang w:val="en-GB"/>
        </w:rPr>
        <w:t>d</w:t>
      </w:r>
      <w:r>
        <w:rPr>
          <w:rFonts w:eastAsia="Calibri" w:cstheme="minorHAnsi"/>
          <w:lang w:val="en-GB"/>
        </w:rPr>
        <w:t xml:space="preserve"> to his departure from the country out of safety concerns</w:t>
      </w:r>
      <w:r w:rsidR="007F5168">
        <w:rPr>
          <w:rFonts w:eastAsia="Calibri" w:cstheme="minorHAnsi"/>
          <w:lang w:val="en-GB"/>
        </w:rPr>
        <w:t xml:space="preserve"> late 2020</w:t>
      </w:r>
      <w:r>
        <w:rPr>
          <w:rFonts w:eastAsia="Calibri" w:cstheme="minorHAnsi"/>
          <w:lang w:val="en-GB"/>
        </w:rPr>
        <w:t xml:space="preserve">. The Special Rapporteurs expressed </w:t>
      </w:r>
      <w:r w:rsidRPr="0082504F">
        <w:rPr>
          <w:rFonts w:eastAsia="Calibri" w:cstheme="minorHAnsi"/>
          <w:lang w:val="en-GB"/>
        </w:rPr>
        <w:t>concern</w:t>
      </w:r>
      <w:r>
        <w:rPr>
          <w:rFonts w:eastAsia="Calibri" w:cstheme="minorHAnsi"/>
          <w:lang w:val="en-GB"/>
        </w:rPr>
        <w:t xml:space="preserve"> with </w:t>
      </w:r>
      <w:r w:rsidRPr="0082504F">
        <w:rPr>
          <w:rFonts w:eastAsia="Calibri" w:cstheme="minorHAnsi"/>
          <w:lang w:val="en-GB"/>
        </w:rPr>
        <w:t>the initial</w:t>
      </w:r>
      <w:r>
        <w:rPr>
          <w:rFonts w:eastAsia="Calibri" w:cstheme="minorHAnsi"/>
          <w:lang w:val="en-GB"/>
        </w:rPr>
        <w:t xml:space="preserve"> </w:t>
      </w:r>
      <w:r w:rsidRPr="0082504F">
        <w:rPr>
          <w:rFonts w:eastAsia="Calibri" w:cstheme="minorHAnsi"/>
          <w:lang w:val="en-GB"/>
        </w:rPr>
        <w:t>denial of police pr</w:t>
      </w:r>
      <w:r>
        <w:rPr>
          <w:rFonts w:eastAsia="Calibri" w:cstheme="minorHAnsi"/>
          <w:lang w:val="en-GB"/>
        </w:rPr>
        <w:t>o</w:t>
      </w:r>
      <w:r w:rsidRPr="0082504F">
        <w:rPr>
          <w:rFonts w:eastAsia="Calibri" w:cstheme="minorHAnsi"/>
          <w:lang w:val="en-GB"/>
        </w:rPr>
        <w:t xml:space="preserve">tection and </w:t>
      </w:r>
      <w:r>
        <w:rPr>
          <w:rFonts w:eastAsia="Calibri" w:cstheme="minorHAnsi"/>
          <w:lang w:val="en-GB"/>
        </w:rPr>
        <w:t>t</w:t>
      </w:r>
      <w:r w:rsidRPr="0082504F">
        <w:rPr>
          <w:rFonts w:eastAsia="Calibri" w:cstheme="minorHAnsi"/>
          <w:lang w:val="en-GB"/>
        </w:rPr>
        <w:t>he two</w:t>
      </w:r>
      <w:r>
        <w:rPr>
          <w:rFonts w:eastAsia="Calibri" w:cstheme="minorHAnsi"/>
          <w:lang w:val="en-GB"/>
        </w:rPr>
        <w:t>-</w:t>
      </w:r>
      <w:r w:rsidRPr="0082504F">
        <w:rPr>
          <w:rFonts w:eastAsia="Calibri" w:cstheme="minorHAnsi"/>
          <w:lang w:val="en-GB"/>
        </w:rPr>
        <w:t>week delay in offering protection in some circumstances</w:t>
      </w:r>
      <w:r w:rsidR="007F5168">
        <w:rPr>
          <w:rFonts w:eastAsia="Calibri" w:cstheme="minorHAnsi"/>
          <w:lang w:val="en-GB"/>
        </w:rPr>
        <w:t xml:space="preserve">. They also reaffirmed the importance of bringing perpetrators to justice and ensuring a </w:t>
      </w:r>
      <w:r w:rsidR="007F5168" w:rsidRPr="007F5168">
        <w:rPr>
          <w:rFonts w:eastAsia="Calibri" w:cstheme="minorHAnsi"/>
          <w:lang w:val="en-GB"/>
        </w:rPr>
        <w:t>safe</w:t>
      </w:r>
      <w:r w:rsidR="007F5168">
        <w:rPr>
          <w:rFonts w:eastAsia="Calibri" w:cstheme="minorHAnsi"/>
          <w:lang w:val="en-GB"/>
        </w:rPr>
        <w:t xml:space="preserve"> </w:t>
      </w:r>
      <w:r w:rsidR="007F5168" w:rsidRPr="007F5168">
        <w:rPr>
          <w:rFonts w:eastAsia="Calibri" w:cstheme="minorHAnsi"/>
          <w:lang w:val="en-GB"/>
        </w:rPr>
        <w:t xml:space="preserve">and enabling environment </w:t>
      </w:r>
      <w:r w:rsidR="007F5168">
        <w:rPr>
          <w:rFonts w:eastAsia="Calibri" w:cstheme="minorHAnsi"/>
          <w:lang w:val="en-GB"/>
        </w:rPr>
        <w:t xml:space="preserve">for all </w:t>
      </w:r>
      <w:r w:rsidR="007F5168" w:rsidRPr="007F5168">
        <w:rPr>
          <w:rFonts w:eastAsia="Calibri" w:cstheme="minorHAnsi"/>
          <w:lang w:val="en-GB"/>
        </w:rPr>
        <w:t>human rights defenders, in particular those  advocating for equality and non-discrimination</w:t>
      </w:r>
      <w:r w:rsidR="007F5168">
        <w:rPr>
          <w:rFonts w:eastAsia="Calibri" w:cstheme="minorHAnsi"/>
          <w:lang w:val="en-GB"/>
        </w:rPr>
        <w:t xml:space="preserve"> and </w:t>
      </w:r>
      <w:r w:rsidR="007F5168" w:rsidRPr="007F5168">
        <w:rPr>
          <w:rFonts w:eastAsia="Calibri" w:cstheme="minorHAnsi"/>
          <w:lang w:val="en-GB"/>
        </w:rPr>
        <w:t>documenting  racist speech, behaviour and related human rights violations</w:t>
      </w:r>
      <w:r w:rsidR="007F5168">
        <w:rPr>
          <w:rFonts w:eastAsia="Calibri" w:cstheme="minorHAnsi"/>
          <w:lang w:val="en-GB"/>
        </w:rPr>
        <w:t xml:space="preserve"> (</w:t>
      </w:r>
      <w:hyperlink r:id="rId31" w:tgtFrame="Com_25639" w:history="1">
        <w:r w:rsidR="007F5168" w:rsidRPr="00A37EF9">
          <w:rPr>
            <w:rStyle w:val="Hyperlink"/>
            <w:lang w:val="en-US"/>
          </w:rPr>
          <w:t>PRT 1/2020</w:t>
        </w:r>
      </w:hyperlink>
      <w:r w:rsidR="007F5168" w:rsidRPr="00A37EF9">
        <w:rPr>
          <w:lang w:val="en-US"/>
        </w:rPr>
        <w:t xml:space="preserve">, </w:t>
      </w:r>
      <w:r w:rsidR="007F5168" w:rsidRPr="00A37EF9">
        <w:rPr>
          <w:rStyle w:val="Hyperlink"/>
          <w:color w:val="auto"/>
          <w:u w:val="none"/>
          <w:lang w:val="en-US"/>
        </w:rPr>
        <w:t>a</w:t>
      </w:r>
      <w:r w:rsidR="007F5168" w:rsidRPr="00315639">
        <w:rPr>
          <w:rStyle w:val="Hyperlink"/>
          <w:color w:val="auto"/>
          <w:u w:val="none"/>
          <w:lang w:val="en-US"/>
        </w:rPr>
        <w:t xml:space="preserve">vailable </w:t>
      </w:r>
      <w:r w:rsidR="007F5168" w:rsidRPr="00315639">
        <w:rPr>
          <w:rFonts w:eastAsia="Calibri" w:cstheme="minorHAnsi"/>
          <w:bCs/>
          <w:lang w:val="en-GB"/>
        </w:rPr>
        <w:t>at</w:t>
      </w:r>
      <w:r w:rsidR="007F5168" w:rsidRPr="00315639">
        <w:rPr>
          <w:lang w:val="en-US"/>
        </w:rPr>
        <w:t xml:space="preserve"> </w:t>
      </w:r>
      <w:hyperlink r:id="rId32" w:history="1">
        <w:r w:rsidR="0047537D" w:rsidRPr="0047537D">
          <w:rPr>
            <w:rStyle w:val="Hyperlink"/>
            <w:bCs/>
            <w:lang w:val="en-GB"/>
          </w:rPr>
          <w:t>https://spcommreports.ohchr.org/Tmsearch/TMDocuments</w:t>
        </w:r>
      </w:hyperlink>
      <w:r w:rsidR="0047537D" w:rsidRPr="0047537D">
        <w:rPr>
          <w:bCs/>
          <w:lang w:val="en-GB"/>
        </w:rPr>
        <w:t>).</w:t>
      </w:r>
    </w:p>
    <w:p w:rsidR="001B7CA2" w:rsidRPr="00DE39B5" w:rsidRDefault="001B7CA2" w:rsidP="0053056D">
      <w:pPr>
        <w:spacing w:line="240" w:lineRule="auto"/>
        <w:jc w:val="both"/>
        <w:rPr>
          <w:lang w:val="en-GB"/>
        </w:rPr>
      </w:pPr>
      <w:r w:rsidRPr="00DE39B5">
        <w:rPr>
          <w:b/>
          <w:bCs/>
          <w:i/>
          <w:iCs/>
          <w:lang w:val="en-GB"/>
        </w:rPr>
        <w:t xml:space="preserve">E. Initiatives to foster a rule of law culture </w:t>
      </w:r>
    </w:p>
    <w:p w:rsidR="001B7CA2" w:rsidRPr="00DE39B5" w:rsidRDefault="001B7CA2" w:rsidP="0053056D">
      <w:pPr>
        <w:spacing w:line="240" w:lineRule="auto"/>
        <w:jc w:val="both"/>
        <w:rPr>
          <w:lang w:val="en-GB"/>
        </w:rPr>
      </w:pPr>
      <w:r w:rsidRPr="00DE39B5">
        <w:rPr>
          <w:i/>
          <w:iCs/>
          <w:lang w:val="en-GB"/>
        </w:rPr>
        <w:t xml:space="preserve">46. Measures to foster a rule of law culture (e.g. debates in national parliaments on the rule of law, public information campaigns on rule of law issues, etc.) </w:t>
      </w:r>
    </w:p>
    <w:p w:rsidR="001B7CA2" w:rsidRPr="0053056D" w:rsidRDefault="001B7CA2" w:rsidP="0053056D">
      <w:pPr>
        <w:spacing w:line="240" w:lineRule="auto"/>
        <w:jc w:val="both"/>
        <w:rPr>
          <w:lang w:val="en-GB"/>
        </w:rPr>
      </w:pPr>
      <w:r w:rsidRPr="00DE39B5">
        <w:rPr>
          <w:b/>
          <w:bCs/>
          <w:i/>
          <w:iCs/>
          <w:lang w:val="en-GB"/>
        </w:rPr>
        <w:t>Other – please specify</w:t>
      </w:r>
    </w:p>
    <w:p w:rsidR="00E75F98" w:rsidRPr="00DE39B5" w:rsidRDefault="00E75F98" w:rsidP="00832B97">
      <w:pPr>
        <w:jc w:val="both"/>
        <w:rPr>
          <w:rFonts w:eastAsia="Calibri" w:cstheme="minorHAnsi"/>
          <w:lang w:val="en-GB"/>
        </w:rPr>
      </w:pPr>
    </w:p>
    <w:p w:rsidR="008C7A94" w:rsidRPr="00DE39B5" w:rsidRDefault="008C7A94" w:rsidP="00832B97">
      <w:pPr>
        <w:jc w:val="both"/>
        <w:rPr>
          <w:b/>
          <w:bCs/>
          <w:lang w:val="en-GB"/>
        </w:rPr>
      </w:pPr>
    </w:p>
    <w:p w:rsidR="008C7A94" w:rsidRPr="00DE39B5" w:rsidRDefault="008C7A94" w:rsidP="00FD5E83">
      <w:pPr>
        <w:jc w:val="both"/>
        <w:rPr>
          <w:rFonts w:eastAsia="Calibri" w:cstheme="minorHAnsi"/>
          <w:sz w:val="20"/>
          <w:szCs w:val="24"/>
          <w:lang w:val="en-GB"/>
        </w:rPr>
      </w:pPr>
    </w:p>
    <w:sectPr w:rsidR="008C7A94" w:rsidRPr="00DE39B5">
      <w:footerReference w:type="default" r:id="rId33"/>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F4F" w:rsidRDefault="00DC3F4F" w:rsidP="00AB6BD8">
      <w:pPr>
        <w:spacing w:after="0" w:line="240" w:lineRule="auto"/>
      </w:pPr>
      <w:r>
        <w:separator/>
      </w:r>
    </w:p>
  </w:endnote>
  <w:endnote w:type="continuationSeparator" w:id="0">
    <w:p w:rsidR="00DC3F4F" w:rsidRDefault="00DC3F4F"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rsidR="008F5F0F" w:rsidRDefault="008F5F0F">
        <w:pPr>
          <w:pStyle w:val="Footer"/>
          <w:jc w:val="center"/>
        </w:pPr>
        <w:r>
          <w:fldChar w:fldCharType="begin"/>
        </w:r>
        <w:r>
          <w:instrText>PAGE   \* MERGEFORMAT</w:instrText>
        </w:r>
        <w:r>
          <w:fldChar w:fldCharType="separate"/>
        </w:r>
        <w:r w:rsidR="00DC3F4F" w:rsidRPr="00DC3F4F">
          <w:rPr>
            <w:noProof/>
            <w:lang w:val="fr-FR"/>
          </w:rPr>
          <w:t>1</w:t>
        </w:r>
        <w:r>
          <w:fldChar w:fldCharType="end"/>
        </w:r>
      </w:p>
    </w:sdtContent>
  </w:sdt>
  <w:p w:rsidR="008F5F0F" w:rsidRDefault="008F5F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F4F" w:rsidRDefault="00DC3F4F" w:rsidP="00AB6BD8">
      <w:pPr>
        <w:spacing w:after="0" w:line="240" w:lineRule="auto"/>
      </w:pPr>
      <w:r>
        <w:separator/>
      </w:r>
    </w:p>
  </w:footnote>
  <w:footnote w:type="continuationSeparator" w:id="0">
    <w:p w:rsidR="00DC3F4F" w:rsidRDefault="00DC3F4F"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51B85"/>
    <w:multiLevelType w:val="hybridMultilevel"/>
    <w:tmpl w:val="D574708C"/>
    <w:styleLink w:val="ImportedStyle1"/>
    <w:lvl w:ilvl="0" w:tplc="40EE65F2">
      <w:start w:val="1"/>
      <w:numFmt w:val="bullet"/>
      <w:lvlText w:val="·"/>
      <w:lvlJc w:val="left"/>
      <w:pPr>
        <w:ind w:left="72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1" w:tplc="853249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2" w:tplc="C4CA02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3" w:tplc="D8CC84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4" w:tplc="126AE9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5" w:tplc="8364256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6" w:tplc="875C5AA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7" w:tplc="5058AF5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8" w:tplc="0F9C491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D05B8"/>
    <w:multiLevelType w:val="hybridMultilevel"/>
    <w:tmpl w:val="4A70F9AC"/>
    <w:styleLink w:val="ImportedStyle11"/>
    <w:lvl w:ilvl="0" w:tplc="FCAAA0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3D52C6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508C93F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F9EC867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F1AE646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39D062E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A6EEA89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6002BA7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FA2E3DC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 w15:restartNumberingAfterBreak="0">
    <w:nsid w:val="15FE6151"/>
    <w:multiLevelType w:val="hybridMultilevel"/>
    <w:tmpl w:val="7180D020"/>
    <w:styleLink w:val="ImportedStyle4"/>
    <w:lvl w:ilvl="0" w:tplc="06A2E7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917492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BF88671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49C8D15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A8647AE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4E88347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AE92837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87A8CD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6240CE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4" w15:restartNumberingAfterBreak="0">
    <w:nsid w:val="1A322198"/>
    <w:multiLevelType w:val="hybridMultilevel"/>
    <w:tmpl w:val="7180D020"/>
    <w:numStyleLink w:val="ImportedStyle4"/>
  </w:abstractNum>
  <w:abstractNum w:abstractNumId="5" w15:restartNumberingAfterBreak="0">
    <w:nsid w:val="215E584C"/>
    <w:multiLevelType w:val="hybridMultilevel"/>
    <w:tmpl w:val="4A70F9AC"/>
    <w:numStyleLink w:val="ImportedStyle11"/>
  </w:abstractNum>
  <w:abstractNum w:abstractNumId="6" w15:restartNumberingAfterBreak="0">
    <w:nsid w:val="35511764"/>
    <w:multiLevelType w:val="hybridMultilevel"/>
    <w:tmpl w:val="D574708C"/>
    <w:numStyleLink w:val="ImportedStyle1"/>
  </w:abstractNum>
  <w:abstractNum w:abstractNumId="7"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8" w15:restartNumberingAfterBreak="0">
    <w:nsid w:val="3EAA4FD9"/>
    <w:multiLevelType w:val="hybridMultilevel"/>
    <w:tmpl w:val="214CE4EA"/>
    <w:lvl w:ilvl="0" w:tplc="080C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7C39C3"/>
    <w:multiLevelType w:val="hybridMultilevel"/>
    <w:tmpl w:val="7FC29A8A"/>
    <w:styleLink w:val="ImportedStyle3"/>
    <w:lvl w:ilvl="0" w:tplc="33DA9C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3652674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7096A3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6F68669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A3E63D2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A55C680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204A8E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50702BB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824365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0"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72DB0E7E"/>
    <w:multiLevelType w:val="hybridMultilevel"/>
    <w:tmpl w:val="7FC29A8A"/>
    <w:numStyleLink w:val="ImportedStyle3"/>
  </w:abstractNum>
  <w:num w:numId="1">
    <w:abstractNumId w:val="10"/>
  </w:num>
  <w:num w:numId="2">
    <w:abstractNumId w:val="11"/>
  </w:num>
  <w:num w:numId="3">
    <w:abstractNumId w:val="7"/>
  </w:num>
  <w:num w:numId="4">
    <w:abstractNumId w:val="1"/>
  </w:num>
  <w:num w:numId="5">
    <w:abstractNumId w:val="8"/>
  </w:num>
  <w:num w:numId="6">
    <w:abstractNumId w:val="6"/>
  </w:num>
  <w:num w:numId="7">
    <w:abstractNumId w:val="0"/>
  </w:num>
  <w:num w:numId="8">
    <w:abstractNumId w:val="12"/>
  </w:num>
  <w:num w:numId="9">
    <w:abstractNumId w:val="9"/>
  </w:num>
  <w:num w:numId="10">
    <w:abstractNumId w:val="4"/>
  </w:num>
  <w:num w:numId="11">
    <w:abstractNumId w:val="3"/>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fr-BE" w:vendorID="64" w:dllVersion="131078" w:nlCheck="1" w:checkStyle="0"/>
  <w:activeWritingStyle w:appName="MSWord" w:lang="en-US" w:vendorID="64" w:dllVersion="131078" w:nlCheck="1" w:checkStyle="0"/>
  <w:defaultTabStop w:val="708"/>
  <w:hyphenationZone w:val="425"/>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25654"/>
    <w:rsid w:val="00041452"/>
    <w:rsid w:val="00056AD3"/>
    <w:rsid w:val="00061D83"/>
    <w:rsid w:val="00063B69"/>
    <w:rsid w:val="000704DD"/>
    <w:rsid w:val="00086286"/>
    <w:rsid w:val="00090A5C"/>
    <w:rsid w:val="000B6D07"/>
    <w:rsid w:val="000B7A79"/>
    <w:rsid w:val="000C42CC"/>
    <w:rsid w:val="000D35DC"/>
    <w:rsid w:val="000E0B23"/>
    <w:rsid w:val="000F74F4"/>
    <w:rsid w:val="00135A29"/>
    <w:rsid w:val="00137F92"/>
    <w:rsid w:val="0017304E"/>
    <w:rsid w:val="00183D2E"/>
    <w:rsid w:val="001907CA"/>
    <w:rsid w:val="00191BAF"/>
    <w:rsid w:val="00195595"/>
    <w:rsid w:val="001957CE"/>
    <w:rsid w:val="001965FA"/>
    <w:rsid w:val="001A161B"/>
    <w:rsid w:val="001A39EF"/>
    <w:rsid w:val="001B7CA2"/>
    <w:rsid w:val="001C79A2"/>
    <w:rsid w:val="001C7CCF"/>
    <w:rsid w:val="002043C9"/>
    <w:rsid w:val="002057FA"/>
    <w:rsid w:val="00207339"/>
    <w:rsid w:val="00221794"/>
    <w:rsid w:val="00221C79"/>
    <w:rsid w:val="00221F18"/>
    <w:rsid w:val="00225E53"/>
    <w:rsid w:val="002276EB"/>
    <w:rsid w:val="00233309"/>
    <w:rsid w:val="002335D2"/>
    <w:rsid w:val="00247F79"/>
    <w:rsid w:val="00251082"/>
    <w:rsid w:val="0025424B"/>
    <w:rsid w:val="00275AE3"/>
    <w:rsid w:val="00297169"/>
    <w:rsid w:val="002A7423"/>
    <w:rsid w:val="002B1E54"/>
    <w:rsid w:val="002B407D"/>
    <w:rsid w:val="002C15AB"/>
    <w:rsid w:val="002C53C8"/>
    <w:rsid w:val="002D45D1"/>
    <w:rsid w:val="00302A5B"/>
    <w:rsid w:val="00312885"/>
    <w:rsid w:val="00313E13"/>
    <w:rsid w:val="003230F6"/>
    <w:rsid w:val="003279DD"/>
    <w:rsid w:val="00340D01"/>
    <w:rsid w:val="00351BA9"/>
    <w:rsid w:val="0035634D"/>
    <w:rsid w:val="00357B2A"/>
    <w:rsid w:val="003635F9"/>
    <w:rsid w:val="00371670"/>
    <w:rsid w:val="00371EEE"/>
    <w:rsid w:val="00383787"/>
    <w:rsid w:val="00384FE7"/>
    <w:rsid w:val="00392F13"/>
    <w:rsid w:val="0039565F"/>
    <w:rsid w:val="003A4BFE"/>
    <w:rsid w:val="003E3B30"/>
    <w:rsid w:val="003F06D8"/>
    <w:rsid w:val="003F110A"/>
    <w:rsid w:val="003F4928"/>
    <w:rsid w:val="003F5FB0"/>
    <w:rsid w:val="004112AA"/>
    <w:rsid w:val="004123A4"/>
    <w:rsid w:val="0041343E"/>
    <w:rsid w:val="00451BE5"/>
    <w:rsid w:val="004573B3"/>
    <w:rsid w:val="0047537D"/>
    <w:rsid w:val="004809CC"/>
    <w:rsid w:val="00486444"/>
    <w:rsid w:val="004928C8"/>
    <w:rsid w:val="004A0573"/>
    <w:rsid w:val="004B18FF"/>
    <w:rsid w:val="004E66EC"/>
    <w:rsid w:val="004F00B8"/>
    <w:rsid w:val="00516BFD"/>
    <w:rsid w:val="0053056D"/>
    <w:rsid w:val="00531531"/>
    <w:rsid w:val="00544F2E"/>
    <w:rsid w:val="005461E9"/>
    <w:rsid w:val="00546ADC"/>
    <w:rsid w:val="00566D15"/>
    <w:rsid w:val="005679E1"/>
    <w:rsid w:val="005813D8"/>
    <w:rsid w:val="005830E1"/>
    <w:rsid w:val="00583878"/>
    <w:rsid w:val="005857F9"/>
    <w:rsid w:val="005947F6"/>
    <w:rsid w:val="005972B1"/>
    <w:rsid w:val="005A5280"/>
    <w:rsid w:val="005E449A"/>
    <w:rsid w:val="005E61F1"/>
    <w:rsid w:val="005F00F3"/>
    <w:rsid w:val="00606269"/>
    <w:rsid w:val="00607414"/>
    <w:rsid w:val="006151C9"/>
    <w:rsid w:val="00617E08"/>
    <w:rsid w:val="0065505F"/>
    <w:rsid w:val="0066480F"/>
    <w:rsid w:val="006838AD"/>
    <w:rsid w:val="00684784"/>
    <w:rsid w:val="00686A22"/>
    <w:rsid w:val="00693FA6"/>
    <w:rsid w:val="0069410B"/>
    <w:rsid w:val="00697735"/>
    <w:rsid w:val="006A0134"/>
    <w:rsid w:val="006A1205"/>
    <w:rsid w:val="006B1DC5"/>
    <w:rsid w:val="006C6EF5"/>
    <w:rsid w:val="00704504"/>
    <w:rsid w:val="00740061"/>
    <w:rsid w:val="0074068E"/>
    <w:rsid w:val="00747C38"/>
    <w:rsid w:val="00754447"/>
    <w:rsid w:val="007748A7"/>
    <w:rsid w:val="00782DF5"/>
    <w:rsid w:val="007D384F"/>
    <w:rsid w:val="007D557A"/>
    <w:rsid w:val="007D7762"/>
    <w:rsid w:val="007F5168"/>
    <w:rsid w:val="007F6BCB"/>
    <w:rsid w:val="007F7F5F"/>
    <w:rsid w:val="0080379C"/>
    <w:rsid w:val="00812CA6"/>
    <w:rsid w:val="00815599"/>
    <w:rsid w:val="0082119B"/>
    <w:rsid w:val="0082504F"/>
    <w:rsid w:val="00832B97"/>
    <w:rsid w:val="00834DB4"/>
    <w:rsid w:val="00857AE8"/>
    <w:rsid w:val="008628EF"/>
    <w:rsid w:val="008644A2"/>
    <w:rsid w:val="00867498"/>
    <w:rsid w:val="00882AE5"/>
    <w:rsid w:val="0089145C"/>
    <w:rsid w:val="008A1B74"/>
    <w:rsid w:val="008A7229"/>
    <w:rsid w:val="008B5DE9"/>
    <w:rsid w:val="008C7A94"/>
    <w:rsid w:val="008E537C"/>
    <w:rsid w:val="008E7D16"/>
    <w:rsid w:val="008F5F0F"/>
    <w:rsid w:val="00910A01"/>
    <w:rsid w:val="00916B8E"/>
    <w:rsid w:val="009370E4"/>
    <w:rsid w:val="00943370"/>
    <w:rsid w:val="009530A8"/>
    <w:rsid w:val="00967522"/>
    <w:rsid w:val="009747C2"/>
    <w:rsid w:val="00997215"/>
    <w:rsid w:val="00997BCB"/>
    <w:rsid w:val="009B1E72"/>
    <w:rsid w:val="009C2C2A"/>
    <w:rsid w:val="009C7837"/>
    <w:rsid w:val="009E489A"/>
    <w:rsid w:val="009E71F5"/>
    <w:rsid w:val="00A00505"/>
    <w:rsid w:val="00A114BB"/>
    <w:rsid w:val="00A37EF9"/>
    <w:rsid w:val="00A44EFC"/>
    <w:rsid w:val="00A81239"/>
    <w:rsid w:val="00AA0F16"/>
    <w:rsid w:val="00AB4073"/>
    <w:rsid w:val="00AB6BD8"/>
    <w:rsid w:val="00B0263D"/>
    <w:rsid w:val="00B17993"/>
    <w:rsid w:val="00B45587"/>
    <w:rsid w:val="00B54E3F"/>
    <w:rsid w:val="00B572A7"/>
    <w:rsid w:val="00B654DC"/>
    <w:rsid w:val="00B669A0"/>
    <w:rsid w:val="00B67431"/>
    <w:rsid w:val="00B77993"/>
    <w:rsid w:val="00B77A96"/>
    <w:rsid w:val="00B837B5"/>
    <w:rsid w:val="00B86F06"/>
    <w:rsid w:val="00B92AAC"/>
    <w:rsid w:val="00B94426"/>
    <w:rsid w:val="00BA137B"/>
    <w:rsid w:val="00BA5012"/>
    <w:rsid w:val="00BB10FC"/>
    <w:rsid w:val="00BB26FB"/>
    <w:rsid w:val="00BB67D7"/>
    <w:rsid w:val="00BC1D9A"/>
    <w:rsid w:val="00BC202D"/>
    <w:rsid w:val="00BC645A"/>
    <w:rsid w:val="00C0625A"/>
    <w:rsid w:val="00C0665B"/>
    <w:rsid w:val="00C1383D"/>
    <w:rsid w:val="00C177A8"/>
    <w:rsid w:val="00C30641"/>
    <w:rsid w:val="00C30C94"/>
    <w:rsid w:val="00C34944"/>
    <w:rsid w:val="00C35057"/>
    <w:rsid w:val="00C40D33"/>
    <w:rsid w:val="00C45D96"/>
    <w:rsid w:val="00C46DCD"/>
    <w:rsid w:val="00C560E0"/>
    <w:rsid w:val="00C67D90"/>
    <w:rsid w:val="00C77829"/>
    <w:rsid w:val="00CA5006"/>
    <w:rsid w:val="00CA5BE4"/>
    <w:rsid w:val="00CB4A86"/>
    <w:rsid w:val="00CB4BBD"/>
    <w:rsid w:val="00CC5815"/>
    <w:rsid w:val="00CC6B37"/>
    <w:rsid w:val="00CD1815"/>
    <w:rsid w:val="00CF698C"/>
    <w:rsid w:val="00D31DBE"/>
    <w:rsid w:val="00D43D38"/>
    <w:rsid w:val="00D50253"/>
    <w:rsid w:val="00D56B99"/>
    <w:rsid w:val="00D81A0D"/>
    <w:rsid w:val="00D848D8"/>
    <w:rsid w:val="00DA2342"/>
    <w:rsid w:val="00DA325C"/>
    <w:rsid w:val="00DB5065"/>
    <w:rsid w:val="00DC389E"/>
    <w:rsid w:val="00DC3F4F"/>
    <w:rsid w:val="00DC470F"/>
    <w:rsid w:val="00DE39B5"/>
    <w:rsid w:val="00DE7F07"/>
    <w:rsid w:val="00DF0A78"/>
    <w:rsid w:val="00DF43FD"/>
    <w:rsid w:val="00DF55F1"/>
    <w:rsid w:val="00E17165"/>
    <w:rsid w:val="00E27A9B"/>
    <w:rsid w:val="00E374FC"/>
    <w:rsid w:val="00E40CFA"/>
    <w:rsid w:val="00E43B0F"/>
    <w:rsid w:val="00E50AA3"/>
    <w:rsid w:val="00E6210F"/>
    <w:rsid w:val="00E63CAD"/>
    <w:rsid w:val="00E64DD2"/>
    <w:rsid w:val="00E662D8"/>
    <w:rsid w:val="00E7579B"/>
    <w:rsid w:val="00E75F98"/>
    <w:rsid w:val="00E80076"/>
    <w:rsid w:val="00E91345"/>
    <w:rsid w:val="00EA59AD"/>
    <w:rsid w:val="00ED3AB8"/>
    <w:rsid w:val="00EE0BEE"/>
    <w:rsid w:val="00EE3D25"/>
    <w:rsid w:val="00EF1D21"/>
    <w:rsid w:val="00EF36D6"/>
    <w:rsid w:val="00EF39A5"/>
    <w:rsid w:val="00EF4DF8"/>
    <w:rsid w:val="00F244CE"/>
    <w:rsid w:val="00F45B9C"/>
    <w:rsid w:val="00F71D03"/>
    <w:rsid w:val="00F92C44"/>
    <w:rsid w:val="00FA1727"/>
    <w:rsid w:val="00FD5E83"/>
    <w:rsid w:val="00FE1807"/>
    <w:rsid w:val="00FE1BD3"/>
    <w:rsid w:val="00FF1DBD"/>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C30641"/>
    <w:pPr>
      <w:spacing w:before="100" w:beforeAutospacing="1" w:after="100" w:afterAutospacing="1" w:line="240" w:lineRule="auto"/>
      <w:outlineLvl w:val="2"/>
    </w:pPr>
    <w:rPr>
      <w:rFonts w:ascii="Times New Roman" w:eastAsia="Times New Roman" w:hAnsi="Times New Roman" w:cs="Times New Roman"/>
      <w:b/>
      <w:bCs/>
      <w:sz w:val="27"/>
      <w:szCs w:val="27"/>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UnresolvedMention">
    <w:name w:val="Unresolved Mention"/>
    <w:basedOn w:val="DefaultParagraphFont"/>
    <w:uiPriority w:val="99"/>
    <w:semiHidden/>
    <w:unhideWhenUsed/>
    <w:rsid w:val="00BB26FB"/>
    <w:rPr>
      <w:color w:val="605E5C"/>
      <w:shd w:val="clear" w:color="auto" w:fill="E1DFDD"/>
    </w:rPr>
  </w:style>
  <w:style w:type="character" w:customStyle="1" w:styleId="Heading3Char">
    <w:name w:val="Heading 3 Char"/>
    <w:basedOn w:val="DefaultParagraphFont"/>
    <w:link w:val="Heading3"/>
    <w:uiPriority w:val="9"/>
    <w:rsid w:val="00C30641"/>
    <w:rPr>
      <w:rFonts w:ascii="Times New Roman" w:eastAsia="Times New Roman" w:hAnsi="Times New Roman" w:cs="Times New Roman"/>
      <w:b/>
      <w:bCs/>
      <w:sz w:val="27"/>
      <w:szCs w:val="27"/>
      <w:lang w:val="de-DE" w:eastAsia="de-DE"/>
    </w:rPr>
  </w:style>
  <w:style w:type="numbering" w:customStyle="1" w:styleId="ImportedStyle1">
    <w:name w:val="Imported Style 1"/>
    <w:rsid w:val="00E50AA3"/>
    <w:pPr>
      <w:numPr>
        <w:numId w:val="7"/>
      </w:numPr>
    </w:pPr>
  </w:style>
  <w:style w:type="paragraph" w:customStyle="1" w:styleId="Default">
    <w:name w:val="Default"/>
    <w:rsid w:val="00C177A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numbering" w:customStyle="1" w:styleId="ImportedStyle3">
    <w:name w:val="Imported Style 3"/>
    <w:rsid w:val="00C177A8"/>
    <w:pPr>
      <w:numPr>
        <w:numId w:val="9"/>
      </w:numPr>
    </w:pPr>
  </w:style>
  <w:style w:type="numbering" w:customStyle="1" w:styleId="ImportedStyle4">
    <w:name w:val="Imported Style 4"/>
    <w:rsid w:val="00C177A8"/>
    <w:pPr>
      <w:numPr>
        <w:numId w:val="11"/>
      </w:numPr>
    </w:pPr>
  </w:style>
  <w:style w:type="numbering" w:customStyle="1" w:styleId="ImportedStyle11">
    <w:name w:val="Imported Style 11"/>
    <w:rsid w:val="00C177A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4838">
      <w:bodyDiv w:val="1"/>
      <w:marLeft w:val="0"/>
      <w:marRight w:val="0"/>
      <w:marTop w:val="0"/>
      <w:marBottom w:val="0"/>
      <w:divBdr>
        <w:top w:val="none" w:sz="0" w:space="0" w:color="auto"/>
        <w:left w:val="none" w:sz="0" w:space="0" w:color="auto"/>
        <w:bottom w:val="none" w:sz="0" w:space="0" w:color="auto"/>
        <w:right w:val="none" w:sz="0" w:space="0" w:color="auto"/>
      </w:divBdr>
    </w:div>
    <w:div w:id="38869807">
      <w:bodyDiv w:val="1"/>
      <w:marLeft w:val="0"/>
      <w:marRight w:val="0"/>
      <w:marTop w:val="0"/>
      <w:marBottom w:val="0"/>
      <w:divBdr>
        <w:top w:val="none" w:sz="0" w:space="0" w:color="auto"/>
        <w:left w:val="none" w:sz="0" w:space="0" w:color="auto"/>
        <w:bottom w:val="none" w:sz="0" w:space="0" w:color="auto"/>
        <w:right w:val="none" w:sz="0" w:space="0" w:color="auto"/>
      </w:divBdr>
    </w:div>
    <w:div w:id="42562427">
      <w:bodyDiv w:val="1"/>
      <w:marLeft w:val="0"/>
      <w:marRight w:val="0"/>
      <w:marTop w:val="0"/>
      <w:marBottom w:val="0"/>
      <w:divBdr>
        <w:top w:val="none" w:sz="0" w:space="0" w:color="auto"/>
        <w:left w:val="none" w:sz="0" w:space="0" w:color="auto"/>
        <w:bottom w:val="none" w:sz="0" w:space="0" w:color="auto"/>
        <w:right w:val="none" w:sz="0" w:space="0" w:color="auto"/>
      </w:divBdr>
    </w:div>
    <w:div w:id="69039737">
      <w:bodyDiv w:val="1"/>
      <w:marLeft w:val="0"/>
      <w:marRight w:val="0"/>
      <w:marTop w:val="0"/>
      <w:marBottom w:val="0"/>
      <w:divBdr>
        <w:top w:val="none" w:sz="0" w:space="0" w:color="auto"/>
        <w:left w:val="none" w:sz="0" w:space="0" w:color="auto"/>
        <w:bottom w:val="none" w:sz="0" w:space="0" w:color="auto"/>
        <w:right w:val="none" w:sz="0" w:space="0" w:color="auto"/>
      </w:divBdr>
    </w:div>
    <w:div w:id="77140901">
      <w:bodyDiv w:val="1"/>
      <w:marLeft w:val="0"/>
      <w:marRight w:val="0"/>
      <w:marTop w:val="0"/>
      <w:marBottom w:val="0"/>
      <w:divBdr>
        <w:top w:val="none" w:sz="0" w:space="0" w:color="auto"/>
        <w:left w:val="none" w:sz="0" w:space="0" w:color="auto"/>
        <w:bottom w:val="none" w:sz="0" w:space="0" w:color="auto"/>
        <w:right w:val="none" w:sz="0" w:space="0" w:color="auto"/>
      </w:divBdr>
    </w:div>
    <w:div w:id="77555526">
      <w:bodyDiv w:val="1"/>
      <w:marLeft w:val="0"/>
      <w:marRight w:val="0"/>
      <w:marTop w:val="0"/>
      <w:marBottom w:val="0"/>
      <w:divBdr>
        <w:top w:val="none" w:sz="0" w:space="0" w:color="auto"/>
        <w:left w:val="none" w:sz="0" w:space="0" w:color="auto"/>
        <w:bottom w:val="none" w:sz="0" w:space="0" w:color="auto"/>
        <w:right w:val="none" w:sz="0" w:space="0" w:color="auto"/>
      </w:divBdr>
    </w:div>
    <w:div w:id="78334246">
      <w:bodyDiv w:val="1"/>
      <w:marLeft w:val="0"/>
      <w:marRight w:val="0"/>
      <w:marTop w:val="0"/>
      <w:marBottom w:val="0"/>
      <w:divBdr>
        <w:top w:val="none" w:sz="0" w:space="0" w:color="auto"/>
        <w:left w:val="none" w:sz="0" w:space="0" w:color="auto"/>
        <w:bottom w:val="none" w:sz="0" w:space="0" w:color="auto"/>
        <w:right w:val="none" w:sz="0" w:space="0" w:color="auto"/>
      </w:divBdr>
    </w:div>
    <w:div w:id="89784410">
      <w:bodyDiv w:val="1"/>
      <w:marLeft w:val="0"/>
      <w:marRight w:val="0"/>
      <w:marTop w:val="0"/>
      <w:marBottom w:val="0"/>
      <w:divBdr>
        <w:top w:val="none" w:sz="0" w:space="0" w:color="auto"/>
        <w:left w:val="none" w:sz="0" w:space="0" w:color="auto"/>
        <w:bottom w:val="none" w:sz="0" w:space="0" w:color="auto"/>
        <w:right w:val="none" w:sz="0" w:space="0" w:color="auto"/>
      </w:divBdr>
    </w:div>
    <w:div w:id="99222845">
      <w:bodyDiv w:val="1"/>
      <w:marLeft w:val="0"/>
      <w:marRight w:val="0"/>
      <w:marTop w:val="0"/>
      <w:marBottom w:val="0"/>
      <w:divBdr>
        <w:top w:val="none" w:sz="0" w:space="0" w:color="auto"/>
        <w:left w:val="none" w:sz="0" w:space="0" w:color="auto"/>
        <w:bottom w:val="none" w:sz="0" w:space="0" w:color="auto"/>
        <w:right w:val="none" w:sz="0" w:space="0" w:color="auto"/>
      </w:divBdr>
    </w:div>
    <w:div w:id="101151082">
      <w:bodyDiv w:val="1"/>
      <w:marLeft w:val="0"/>
      <w:marRight w:val="0"/>
      <w:marTop w:val="0"/>
      <w:marBottom w:val="0"/>
      <w:divBdr>
        <w:top w:val="none" w:sz="0" w:space="0" w:color="auto"/>
        <w:left w:val="none" w:sz="0" w:space="0" w:color="auto"/>
        <w:bottom w:val="none" w:sz="0" w:space="0" w:color="auto"/>
        <w:right w:val="none" w:sz="0" w:space="0" w:color="auto"/>
      </w:divBdr>
    </w:div>
    <w:div w:id="107939043">
      <w:bodyDiv w:val="1"/>
      <w:marLeft w:val="0"/>
      <w:marRight w:val="0"/>
      <w:marTop w:val="0"/>
      <w:marBottom w:val="0"/>
      <w:divBdr>
        <w:top w:val="none" w:sz="0" w:space="0" w:color="auto"/>
        <w:left w:val="none" w:sz="0" w:space="0" w:color="auto"/>
        <w:bottom w:val="none" w:sz="0" w:space="0" w:color="auto"/>
        <w:right w:val="none" w:sz="0" w:space="0" w:color="auto"/>
      </w:divBdr>
    </w:div>
    <w:div w:id="113328204">
      <w:bodyDiv w:val="1"/>
      <w:marLeft w:val="0"/>
      <w:marRight w:val="0"/>
      <w:marTop w:val="0"/>
      <w:marBottom w:val="0"/>
      <w:divBdr>
        <w:top w:val="none" w:sz="0" w:space="0" w:color="auto"/>
        <w:left w:val="none" w:sz="0" w:space="0" w:color="auto"/>
        <w:bottom w:val="none" w:sz="0" w:space="0" w:color="auto"/>
        <w:right w:val="none" w:sz="0" w:space="0" w:color="auto"/>
      </w:divBdr>
    </w:div>
    <w:div w:id="113863415">
      <w:bodyDiv w:val="1"/>
      <w:marLeft w:val="0"/>
      <w:marRight w:val="0"/>
      <w:marTop w:val="0"/>
      <w:marBottom w:val="0"/>
      <w:divBdr>
        <w:top w:val="none" w:sz="0" w:space="0" w:color="auto"/>
        <w:left w:val="none" w:sz="0" w:space="0" w:color="auto"/>
        <w:bottom w:val="none" w:sz="0" w:space="0" w:color="auto"/>
        <w:right w:val="none" w:sz="0" w:space="0" w:color="auto"/>
      </w:divBdr>
    </w:div>
    <w:div w:id="128010503">
      <w:bodyDiv w:val="1"/>
      <w:marLeft w:val="0"/>
      <w:marRight w:val="0"/>
      <w:marTop w:val="0"/>
      <w:marBottom w:val="0"/>
      <w:divBdr>
        <w:top w:val="none" w:sz="0" w:space="0" w:color="auto"/>
        <w:left w:val="none" w:sz="0" w:space="0" w:color="auto"/>
        <w:bottom w:val="none" w:sz="0" w:space="0" w:color="auto"/>
        <w:right w:val="none" w:sz="0" w:space="0" w:color="auto"/>
      </w:divBdr>
    </w:div>
    <w:div w:id="134225526">
      <w:bodyDiv w:val="1"/>
      <w:marLeft w:val="0"/>
      <w:marRight w:val="0"/>
      <w:marTop w:val="0"/>
      <w:marBottom w:val="0"/>
      <w:divBdr>
        <w:top w:val="none" w:sz="0" w:space="0" w:color="auto"/>
        <w:left w:val="none" w:sz="0" w:space="0" w:color="auto"/>
        <w:bottom w:val="none" w:sz="0" w:space="0" w:color="auto"/>
        <w:right w:val="none" w:sz="0" w:space="0" w:color="auto"/>
      </w:divBdr>
    </w:div>
    <w:div w:id="135077383">
      <w:bodyDiv w:val="1"/>
      <w:marLeft w:val="0"/>
      <w:marRight w:val="0"/>
      <w:marTop w:val="0"/>
      <w:marBottom w:val="0"/>
      <w:divBdr>
        <w:top w:val="none" w:sz="0" w:space="0" w:color="auto"/>
        <w:left w:val="none" w:sz="0" w:space="0" w:color="auto"/>
        <w:bottom w:val="none" w:sz="0" w:space="0" w:color="auto"/>
        <w:right w:val="none" w:sz="0" w:space="0" w:color="auto"/>
      </w:divBdr>
    </w:div>
    <w:div w:id="141822757">
      <w:bodyDiv w:val="1"/>
      <w:marLeft w:val="0"/>
      <w:marRight w:val="0"/>
      <w:marTop w:val="0"/>
      <w:marBottom w:val="0"/>
      <w:divBdr>
        <w:top w:val="none" w:sz="0" w:space="0" w:color="auto"/>
        <w:left w:val="none" w:sz="0" w:space="0" w:color="auto"/>
        <w:bottom w:val="none" w:sz="0" w:space="0" w:color="auto"/>
        <w:right w:val="none" w:sz="0" w:space="0" w:color="auto"/>
      </w:divBdr>
    </w:div>
    <w:div w:id="143939141">
      <w:bodyDiv w:val="1"/>
      <w:marLeft w:val="0"/>
      <w:marRight w:val="0"/>
      <w:marTop w:val="0"/>
      <w:marBottom w:val="0"/>
      <w:divBdr>
        <w:top w:val="none" w:sz="0" w:space="0" w:color="auto"/>
        <w:left w:val="none" w:sz="0" w:space="0" w:color="auto"/>
        <w:bottom w:val="none" w:sz="0" w:space="0" w:color="auto"/>
        <w:right w:val="none" w:sz="0" w:space="0" w:color="auto"/>
      </w:divBdr>
    </w:div>
    <w:div w:id="161359150">
      <w:bodyDiv w:val="1"/>
      <w:marLeft w:val="0"/>
      <w:marRight w:val="0"/>
      <w:marTop w:val="0"/>
      <w:marBottom w:val="0"/>
      <w:divBdr>
        <w:top w:val="none" w:sz="0" w:space="0" w:color="auto"/>
        <w:left w:val="none" w:sz="0" w:space="0" w:color="auto"/>
        <w:bottom w:val="none" w:sz="0" w:space="0" w:color="auto"/>
        <w:right w:val="none" w:sz="0" w:space="0" w:color="auto"/>
      </w:divBdr>
    </w:div>
    <w:div w:id="196436550">
      <w:bodyDiv w:val="1"/>
      <w:marLeft w:val="0"/>
      <w:marRight w:val="0"/>
      <w:marTop w:val="0"/>
      <w:marBottom w:val="0"/>
      <w:divBdr>
        <w:top w:val="none" w:sz="0" w:space="0" w:color="auto"/>
        <w:left w:val="none" w:sz="0" w:space="0" w:color="auto"/>
        <w:bottom w:val="none" w:sz="0" w:space="0" w:color="auto"/>
        <w:right w:val="none" w:sz="0" w:space="0" w:color="auto"/>
      </w:divBdr>
    </w:div>
    <w:div w:id="226652281">
      <w:bodyDiv w:val="1"/>
      <w:marLeft w:val="0"/>
      <w:marRight w:val="0"/>
      <w:marTop w:val="0"/>
      <w:marBottom w:val="0"/>
      <w:divBdr>
        <w:top w:val="none" w:sz="0" w:space="0" w:color="auto"/>
        <w:left w:val="none" w:sz="0" w:space="0" w:color="auto"/>
        <w:bottom w:val="none" w:sz="0" w:space="0" w:color="auto"/>
        <w:right w:val="none" w:sz="0" w:space="0" w:color="auto"/>
      </w:divBdr>
    </w:div>
    <w:div w:id="242762267">
      <w:bodyDiv w:val="1"/>
      <w:marLeft w:val="0"/>
      <w:marRight w:val="0"/>
      <w:marTop w:val="0"/>
      <w:marBottom w:val="0"/>
      <w:divBdr>
        <w:top w:val="none" w:sz="0" w:space="0" w:color="auto"/>
        <w:left w:val="none" w:sz="0" w:space="0" w:color="auto"/>
        <w:bottom w:val="none" w:sz="0" w:space="0" w:color="auto"/>
        <w:right w:val="none" w:sz="0" w:space="0" w:color="auto"/>
      </w:divBdr>
    </w:div>
    <w:div w:id="253394931">
      <w:bodyDiv w:val="1"/>
      <w:marLeft w:val="0"/>
      <w:marRight w:val="0"/>
      <w:marTop w:val="0"/>
      <w:marBottom w:val="0"/>
      <w:divBdr>
        <w:top w:val="none" w:sz="0" w:space="0" w:color="auto"/>
        <w:left w:val="none" w:sz="0" w:space="0" w:color="auto"/>
        <w:bottom w:val="none" w:sz="0" w:space="0" w:color="auto"/>
        <w:right w:val="none" w:sz="0" w:space="0" w:color="auto"/>
      </w:divBdr>
    </w:div>
    <w:div w:id="269122866">
      <w:bodyDiv w:val="1"/>
      <w:marLeft w:val="0"/>
      <w:marRight w:val="0"/>
      <w:marTop w:val="0"/>
      <w:marBottom w:val="0"/>
      <w:divBdr>
        <w:top w:val="none" w:sz="0" w:space="0" w:color="auto"/>
        <w:left w:val="none" w:sz="0" w:space="0" w:color="auto"/>
        <w:bottom w:val="none" w:sz="0" w:space="0" w:color="auto"/>
        <w:right w:val="none" w:sz="0" w:space="0" w:color="auto"/>
      </w:divBdr>
    </w:div>
    <w:div w:id="283079954">
      <w:bodyDiv w:val="1"/>
      <w:marLeft w:val="0"/>
      <w:marRight w:val="0"/>
      <w:marTop w:val="0"/>
      <w:marBottom w:val="0"/>
      <w:divBdr>
        <w:top w:val="none" w:sz="0" w:space="0" w:color="auto"/>
        <w:left w:val="none" w:sz="0" w:space="0" w:color="auto"/>
        <w:bottom w:val="none" w:sz="0" w:space="0" w:color="auto"/>
        <w:right w:val="none" w:sz="0" w:space="0" w:color="auto"/>
      </w:divBdr>
    </w:div>
    <w:div w:id="299118863">
      <w:bodyDiv w:val="1"/>
      <w:marLeft w:val="0"/>
      <w:marRight w:val="0"/>
      <w:marTop w:val="0"/>
      <w:marBottom w:val="0"/>
      <w:divBdr>
        <w:top w:val="none" w:sz="0" w:space="0" w:color="auto"/>
        <w:left w:val="none" w:sz="0" w:space="0" w:color="auto"/>
        <w:bottom w:val="none" w:sz="0" w:space="0" w:color="auto"/>
        <w:right w:val="none" w:sz="0" w:space="0" w:color="auto"/>
      </w:divBdr>
    </w:div>
    <w:div w:id="367949291">
      <w:bodyDiv w:val="1"/>
      <w:marLeft w:val="0"/>
      <w:marRight w:val="0"/>
      <w:marTop w:val="0"/>
      <w:marBottom w:val="0"/>
      <w:divBdr>
        <w:top w:val="none" w:sz="0" w:space="0" w:color="auto"/>
        <w:left w:val="none" w:sz="0" w:space="0" w:color="auto"/>
        <w:bottom w:val="none" w:sz="0" w:space="0" w:color="auto"/>
        <w:right w:val="none" w:sz="0" w:space="0" w:color="auto"/>
      </w:divBdr>
    </w:div>
    <w:div w:id="370810402">
      <w:bodyDiv w:val="1"/>
      <w:marLeft w:val="0"/>
      <w:marRight w:val="0"/>
      <w:marTop w:val="0"/>
      <w:marBottom w:val="0"/>
      <w:divBdr>
        <w:top w:val="none" w:sz="0" w:space="0" w:color="auto"/>
        <w:left w:val="none" w:sz="0" w:space="0" w:color="auto"/>
        <w:bottom w:val="none" w:sz="0" w:space="0" w:color="auto"/>
        <w:right w:val="none" w:sz="0" w:space="0" w:color="auto"/>
      </w:divBdr>
    </w:div>
    <w:div w:id="373193453">
      <w:bodyDiv w:val="1"/>
      <w:marLeft w:val="0"/>
      <w:marRight w:val="0"/>
      <w:marTop w:val="0"/>
      <w:marBottom w:val="0"/>
      <w:divBdr>
        <w:top w:val="none" w:sz="0" w:space="0" w:color="auto"/>
        <w:left w:val="none" w:sz="0" w:space="0" w:color="auto"/>
        <w:bottom w:val="none" w:sz="0" w:space="0" w:color="auto"/>
        <w:right w:val="none" w:sz="0" w:space="0" w:color="auto"/>
      </w:divBdr>
    </w:div>
    <w:div w:id="401408645">
      <w:bodyDiv w:val="1"/>
      <w:marLeft w:val="0"/>
      <w:marRight w:val="0"/>
      <w:marTop w:val="0"/>
      <w:marBottom w:val="0"/>
      <w:divBdr>
        <w:top w:val="none" w:sz="0" w:space="0" w:color="auto"/>
        <w:left w:val="none" w:sz="0" w:space="0" w:color="auto"/>
        <w:bottom w:val="none" w:sz="0" w:space="0" w:color="auto"/>
        <w:right w:val="none" w:sz="0" w:space="0" w:color="auto"/>
      </w:divBdr>
    </w:div>
    <w:div w:id="425688041">
      <w:bodyDiv w:val="1"/>
      <w:marLeft w:val="0"/>
      <w:marRight w:val="0"/>
      <w:marTop w:val="0"/>
      <w:marBottom w:val="0"/>
      <w:divBdr>
        <w:top w:val="none" w:sz="0" w:space="0" w:color="auto"/>
        <w:left w:val="none" w:sz="0" w:space="0" w:color="auto"/>
        <w:bottom w:val="none" w:sz="0" w:space="0" w:color="auto"/>
        <w:right w:val="none" w:sz="0" w:space="0" w:color="auto"/>
      </w:divBdr>
    </w:div>
    <w:div w:id="427505446">
      <w:bodyDiv w:val="1"/>
      <w:marLeft w:val="0"/>
      <w:marRight w:val="0"/>
      <w:marTop w:val="0"/>
      <w:marBottom w:val="0"/>
      <w:divBdr>
        <w:top w:val="none" w:sz="0" w:space="0" w:color="auto"/>
        <w:left w:val="none" w:sz="0" w:space="0" w:color="auto"/>
        <w:bottom w:val="none" w:sz="0" w:space="0" w:color="auto"/>
        <w:right w:val="none" w:sz="0" w:space="0" w:color="auto"/>
      </w:divBdr>
    </w:div>
    <w:div w:id="435246593">
      <w:bodyDiv w:val="1"/>
      <w:marLeft w:val="0"/>
      <w:marRight w:val="0"/>
      <w:marTop w:val="0"/>
      <w:marBottom w:val="0"/>
      <w:divBdr>
        <w:top w:val="none" w:sz="0" w:space="0" w:color="auto"/>
        <w:left w:val="none" w:sz="0" w:space="0" w:color="auto"/>
        <w:bottom w:val="none" w:sz="0" w:space="0" w:color="auto"/>
        <w:right w:val="none" w:sz="0" w:space="0" w:color="auto"/>
      </w:divBdr>
    </w:div>
    <w:div w:id="435559977">
      <w:bodyDiv w:val="1"/>
      <w:marLeft w:val="0"/>
      <w:marRight w:val="0"/>
      <w:marTop w:val="0"/>
      <w:marBottom w:val="0"/>
      <w:divBdr>
        <w:top w:val="none" w:sz="0" w:space="0" w:color="auto"/>
        <w:left w:val="none" w:sz="0" w:space="0" w:color="auto"/>
        <w:bottom w:val="none" w:sz="0" w:space="0" w:color="auto"/>
        <w:right w:val="none" w:sz="0" w:space="0" w:color="auto"/>
      </w:divBdr>
    </w:div>
    <w:div w:id="454561426">
      <w:bodyDiv w:val="1"/>
      <w:marLeft w:val="0"/>
      <w:marRight w:val="0"/>
      <w:marTop w:val="0"/>
      <w:marBottom w:val="0"/>
      <w:divBdr>
        <w:top w:val="none" w:sz="0" w:space="0" w:color="auto"/>
        <w:left w:val="none" w:sz="0" w:space="0" w:color="auto"/>
        <w:bottom w:val="none" w:sz="0" w:space="0" w:color="auto"/>
        <w:right w:val="none" w:sz="0" w:space="0" w:color="auto"/>
      </w:divBdr>
    </w:div>
    <w:div w:id="459808765">
      <w:bodyDiv w:val="1"/>
      <w:marLeft w:val="0"/>
      <w:marRight w:val="0"/>
      <w:marTop w:val="0"/>
      <w:marBottom w:val="0"/>
      <w:divBdr>
        <w:top w:val="none" w:sz="0" w:space="0" w:color="auto"/>
        <w:left w:val="none" w:sz="0" w:space="0" w:color="auto"/>
        <w:bottom w:val="none" w:sz="0" w:space="0" w:color="auto"/>
        <w:right w:val="none" w:sz="0" w:space="0" w:color="auto"/>
      </w:divBdr>
    </w:div>
    <w:div w:id="461391295">
      <w:bodyDiv w:val="1"/>
      <w:marLeft w:val="0"/>
      <w:marRight w:val="0"/>
      <w:marTop w:val="0"/>
      <w:marBottom w:val="0"/>
      <w:divBdr>
        <w:top w:val="none" w:sz="0" w:space="0" w:color="auto"/>
        <w:left w:val="none" w:sz="0" w:space="0" w:color="auto"/>
        <w:bottom w:val="none" w:sz="0" w:space="0" w:color="auto"/>
        <w:right w:val="none" w:sz="0" w:space="0" w:color="auto"/>
      </w:divBdr>
    </w:div>
    <w:div w:id="489057331">
      <w:bodyDiv w:val="1"/>
      <w:marLeft w:val="0"/>
      <w:marRight w:val="0"/>
      <w:marTop w:val="0"/>
      <w:marBottom w:val="0"/>
      <w:divBdr>
        <w:top w:val="none" w:sz="0" w:space="0" w:color="auto"/>
        <w:left w:val="none" w:sz="0" w:space="0" w:color="auto"/>
        <w:bottom w:val="none" w:sz="0" w:space="0" w:color="auto"/>
        <w:right w:val="none" w:sz="0" w:space="0" w:color="auto"/>
      </w:divBdr>
    </w:div>
    <w:div w:id="514156258">
      <w:bodyDiv w:val="1"/>
      <w:marLeft w:val="0"/>
      <w:marRight w:val="0"/>
      <w:marTop w:val="0"/>
      <w:marBottom w:val="0"/>
      <w:divBdr>
        <w:top w:val="none" w:sz="0" w:space="0" w:color="auto"/>
        <w:left w:val="none" w:sz="0" w:space="0" w:color="auto"/>
        <w:bottom w:val="none" w:sz="0" w:space="0" w:color="auto"/>
        <w:right w:val="none" w:sz="0" w:space="0" w:color="auto"/>
      </w:divBdr>
    </w:div>
    <w:div w:id="525100190">
      <w:bodyDiv w:val="1"/>
      <w:marLeft w:val="0"/>
      <w:marRight w:val="0"/>
      <w:marTop w:val="0"/>
      <w:marBottom w:val="0"/>
      <w:divBdr>
        <w:top w:val="none" w:sz="0" w:space="0" w:color="auto"/>
        <w:left w:val="none" w:sz="0" w:space="0" w:color="auto"/>
        <w:bottom w:val="none" w:sz="0" w:space="0" w:color="auto"/>
        <w:right w:val="none" w:sz="0" w:space="0" w:color="auto"/>
      </w:divBdr>
    </w:div>
    <w:div w:id="531571796">
      <w:bodyDiv w:val="1"/>
      <w:marLeft w:val="0"/>
      <w:marRight w:val="0"/>
      <w:marTop w:val="0"/>
      <w:marBottom w:val="0"/>
      <w:divBdr>
        <w:top w:val="none" w:sz="0" w:space="0" w:color="auto"/>
        <w:left w:val="none" w:sz="0" w:space="0" w:color="auto"/>
        <w:bottom w:val="none" w:sz="0" w:space="0" w:color="auto"/>
        <w:right w:val="none" w:sz="0" w:space="0" w:color="auto"/>
      </w:divBdr>
    </w:div>
    <w:div w:id="542601692">
      <w:bodyDiv w:val="1"/>
      <w:marLeft w:val="0"/>
      <w:marRight w:val="0"/>
      <w:marTop w:val="0"/>
      <w:marBottom w:val="0"/>
      <w:divBdr>
        <w:top w:val="none" w:sz="0" w:space="0" w:color="auto"/>
        <w:left w:val="none" w:sz="0" w:space="0" w:color="auto"/>
        <w:bottom w:val="none" w:sz="0" w:space="0" w:color="auto"/>
        <w:right w:val="none" w:sz="0" w:space="0" w:color="auto"/>
      </w:divBdr>
    </w:div>
    <w:div w:id="554970391">
      <w:bodyDiv w:val="1"/>
      <w:marLeft w:val="0"/>
      <w:marRight w:val="0"/>
      <w:marTop w:val="0"/>
      <w:marBottom w:val="0"/>
      <w:divBdr>
        <w:top w:val="none" w:sz="0" w:space="0" w:color="auto"/>
        <w:left w:val="none" w:sz="0" w:space="0" w:color="auto"/>
        <w:bottom w:val="none" w:sz="0" w:space="0" w:color="auto"/>
        <w:right w:val="none" w:sz="0" w:space="0" w:color="auto"/>
      </w:divBdr>
    </w:div>
    <w:div w:id="571042322">
      <w:bodyDiv w:val="1"/>
      <w:marLeft w:val="0"/>
      <w:marRight w:val="0"/>
      <w:marTop w:val="0"/>
      <w:marBottom w:val="0"/>
      <w:divBdr>
        <w:top w:val="none" w:sz="0" w:space="0" w:color="auto"/>
        <w:left w:val="none" w:sz="0" w:space="0" w:color="auto"/>
        <w:bottom w:val="none" w:sz="0" w:space="0" w:color="auto"/>
        <w:right w:val="none" w:sz="0" w:space="0" w:color="auto"/>
      </w:divBdr>
    </w:div>
    <w:div w:id="586771649">
      <w:bodyDiv w:val="1"/>
      <w:marLeft w:val="0"/>
      <w:marRight w:val="0"/>
      <w:marTop w:val="0"/>
      <w:marBottom w:val="0"/>
      <w:divBdr>
        <w:top w:val="none" w:sz="0" w:space="0" w:color="auto"/>
        <w:left w:val="none" w:sz="0" w:space="0" w:color="auto"/>
        <w:bottom w:val="none" w:sz="0" w:space="0" w:color="auto"/>
        <w:right w:val="none" w:sz="0" w:space="0" w:color="auto"/>
      </w:divBdr>
    </w:div>
    <w:div w:id="595603300">
      <w:bodyDiv w:val="1"/>
      <w:marLeft w:val="0"/>
      <w:marRight w:val="0"/>
      <w:marTop w:val="0"/>
      <w:marBottom w:val="0"/>
      <w:divBdr>
        <w:top w:val="none" w:sz="0" w:space="0" w:color="auto"/>
        <w:left w:val="none" w:sz="0" w:space="0" w:color="auto"/>
        <w:bottom w:val="none" w:sz="0" w:space="0" w:color="auto"/>
        <w:right w:val="none" w:sz="0" w:space="0" w:color="auto"/>
      </w:divBdr>
    </w:div>
    <w:div w:id="669412156">
      <w:bodyDiv w:val="1"/>
      <w:marLeft w:val="0"/>
      <w:marRight w:val="0"/>
      <w:marTop w:val="0"/>
      <w:marBottom w:val="0"/>
      <w:divBdr>
        <w:top w:val="none" w:sz="0" w:space="0" w:color="auto"/>
        <w:left w:val="none" w:sz="0" w:space="0" w:color="auto"/>
        <w:bottom w:val="none" w:sz="0" w:space="0" w:color="auto"/>
        <w:right w:val="none" w:sz="0" w:space="0" w:color="auto"/>
      </w:divBdr>
    </w:div>
    <w:div w:id="692650749">
      <w:bodyDiv w:val="1"/>
      <w:marLeft w:val="0"/>
      <w:marRight w:val="0"/>
      <w:marTop w:val="0"/>
      <w:marBottom w:val="0"/>
      <w:divBdr>
        <w:top w:val="none" w:sz="0" w:space="0" w:color="auto"/>
        <w:left w:val="none" w:sz="0" w:space="0" w:color="auto"/>
        <w:bottom w:val="none" w:sz="0" w:space="0" w:color="auto"/>
        <w:right w:val="none" w:sz="0" w:space="0" w:color="auto"/>
      </w:divBdr>
    </w:div>
    <w:div w:id="696541563">
      <w:bodyDiv w:val="1"/>
      <w:marLeft w:val="0"/>
      <w:marRight w:val="0"/>
      <w:marTop w:val="0"/>
      <w:marBottom w:val="0"/>
      <w:divBdr>
        <w:top w:val="none" w:sz="0" w:space="0" w:color="auto"/>
        <w:left w:val="none" w:sz="0" w:space="0" w:color="auto"/>
        <w:bottom w:val="none" w:sz="0" w:space="0" w:color="auto"/>
        <w:right w:val="none" w:sz="0" w:space="0" w:color="auto"/>
      </w:divBdr>
    </w:div>
    <w:div w:id="713887912">
      <w:bodyDiv w:val="1"/>
      <w:marLeft w:val="0"/>
      <w:marRight w:val="0"/>
      <w:marTop w:val="0"/>
      <w:marBottom w:val="0"/>
      <w:divBdr>
        <w:top w:val="none" w:sz="0" w:space="0" w:color="auto"/>
        <w:left w:val="none" w:sz="0" w:space="0" w:color="auto"/>
        <w:bottom w:val="none" w:sz="0" w:space="0" w:color="auto"/>
        <w:right w:val="none" w:sz="0" w:space="0" w:color="auto"/>
      </w:divBdr>
    </w:div>
    <w:div w:id="726413991">
      <w:bodyDiv w:val="1"/>
      <w:marLeft w:val="0"/>
      <w:marRight w:val="0"/>
      <w:marTop w:val="0"/>
      <w:marBottom w:val="0"/>
      <w:divBdr>
        <w:top w:val="none" w:sz="0" w:space="0" w:color="auto"/>
        <w:left w:val="none" w:sz="0" w:space="0" w:color="auto"/>
        <w:bottom w:val="none" w:sz="0" w:space="0" w:color="auto"/>
        <w:right w:val="none" w:sz="0" w:space="0" w:color="auto"/>
      </w:divBdr>
    </w:div>
    <w:div w:id="730155449">
      <w:bodyDiv w:val="1"/>
      <w:marLeft w:val="0"/>
      <w:marRight w:val="0"/>
      <w:marTop w:val="0"/>
      <w:marBottom w:val="0"/>
      <w:divBdr>
        <w:top w:val="none" w:sz="0" w:space="0" w:color="auto"/>
        <w:left w:val="none" w:sz="0" w:space="0" w:color="auto"/>
        <w:bottom w:val="none" w:sz="0" w:space="0" w:color="auto"/>
        <w:right w:val="none" w:sz="0" w:space="0" w:color="auto"/>
      </w:divBdr>
    </w:div>
    <w:div w:id="732049903">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761873414">
      <w:bodyDiv w:val="1"/>
      <w:marLeft w:val="0"/>
      <w:marRight w:val="0"/>
      <w:marTop w:val="0"/>
      <w:marBottom w:val="0"/>
      <w:divBdr>
        <w:top w:val="none" w:sz="0" w:space="0" w:color="auto"/>
        <w:left w:val="none" w:sz="0" w:space="0" w:color="auto"/>
        <w:bottom w:val="none" w:sz="0" w:space="0" w:color="auto"/>
        <w:right w:val="none" w:sz="0" w:space="0" w:color="auto"/>
      </w:divBdr>
    </w:div>
    <w:div w:id="778185898">
      <w:bodyDiv w:val="1"/>
      <w:marLeft w:val="0"/>
      <w:marRight w:val="0"/>
      <w:marTop w:val="0"/>
      <w:marBottom w:val="0"/>
      <w:divBdr>
        <w:top w:val="none" w:sz="0" w:space="0" w:color="auto"/>
        <w:left w:val="none" w:sz="0" w:space="0" w:color="auto"/>
        <w:bottom w:val="none" w:sz="0" w:space="0" w:color="auto"/>
        <w:right w:val="none" w:sz="0" w:space="0" w:color="auto"/>
      </w:divBdr>
    </w:div>
    <w:div w:id="778570105">
      <w:bodyDiv w:val="1"/>
      <w:marLeft w:val="0"/>
      <w:marRight w:val="0"/>
      <w:marTop w:val="0"/>
      <w:marBottom w:val="0"/>
      <w:divBdr>
        <w:top w:val="none" w:sz="0" w:space="0" w:color="auto"/>
        <w:left w:val="none" w:sz="0" w:space="0" w:color="auto"/>
        <w:bottom w:val="none" w:sz="0" w:space="0" w:color="auto"/>
        <w:right w:val="none" w:sz="0" w:space="0" w:color="auto"/>
      </w:divBdr>
    </w:div>
    <w:div w:id="825508681">
      <w:bodyDiv w:val="1"/>
      <w:marLeft w:val="0"/>
      <w:marRight w:val="0"/>
      <w:marTop w:val="0"/>
      <w:marBottom w:val="0"/>
      <w:divBdr>
        <w:top w:val="none" w:sz="0" w:space="0" w:color="auto"/>
        <w:left w:val="none" w:sz="0" w:space="0" w:color="auto"/>
        <w:bottom w:val="none" w:sz="0" w:space="0" w:color="auto"/>
        <w:right w:val="none" w:sz="0" w:space="0" w:color="auto"/>
      </w:divBdr>
    </w:div>
    <w:div w:id="857080132">
      <w:bodyDiv w:val="1"/>
      <w:marLeft w:val="0"/>
      <w:marRight w:val="0"/>
      <w:marTop w:val="0"/>
      <w:marBottom w:val="0"/>
      <w:divBdr>
        <w:top w:val="none" w:sz="0" w:space="0" w:color="auto"/>
        <w:left w:val="none" w:sz="0" w:space="0" w:color="auto"/>
        <w:bottom w:val="none" w:sz="0" w:space="0" w:color="auto"/>
        <w:right w:val="none" w:sz="0" w:space="0" w:color="auto"/>
      </w:divBdr>
    </w:div>
    <w:div w:id="873812728">
      <w:bodyDiv w:val="1"/>
      <w:marLeft w:val="0"/>
      <w:marRight w:val="0"/>
      <w:marTop w:val="0"/>
      <w:marBottom w:val="0"/>
      <w:divBdr>
        <w:top w:val="none" w:sz="0" w:space="0" w:color="auto"/>
        <w:left w:val="none" w:sz="0" w:space="0" w:color="auto"/>
        <w:bottom w:val="none" w:sz="0" w:space="0" w:color="auto"/>
        <w:right w:val="none" w:sz="0" w:space="0" w:color="auto"/>
      </w:divBdr>
    </w:div>
    <w:div w:id="875002421">
      <w:bodyDiv w:val="1"/>
      <w:marLeft w:val="0"/>
      <w:marRight w:val="0"/>
      <w:marTop w:val="0"/>
      <w:marBottom w:val="0"/>
      <w:divBdr>
        <w:top w:val="none" w:sz="0" w:space="0" w:color="auto"/>
        <w:left w:val="none" w:sz="0" w:space="0" w:color="auto"/>
        <w:bottom w:val="none" w:sz="0" w:space="0" w:color="auto"/>
        <w:right w:val="none" w:sz="0" w:space="0" w:color="auto"/>
      </w:divBdr>
    </w:div>
    <w:div w:id="881132937">
      <w:bodyDiv w:val="1"/>
      <w:marLeft w:val="0"/>
      <w:marRight w:val="0"/>
      <w:marTop w:val="0"/>
      <w:marBottom w:val="0"/>
      <w:divBdr>
        <w:top w:val="none" w:sz="0" w:space="0" w:color="auto"/>
        <w:left w:val="none" w:sz="0" w:space="0" w:color="auto"/>
        <w:bottom w:val="none" w:sz="0" w:space="0" w:color="auto"/>
        <w:right w:val="none" w:sz="0" w:space="0" w:color="auto"/>
      </w:divBdr>
    </w:div>
    <w:div w:id="892810594">
      <w:bodyDiv w:val="1"/>
      <w:marLeft w:val="0"/>
      <w:marRight w:val="0"/>
      <w:marTop w:val="0"/>
      <w:marBottom w:val="0"/>
      <w:divBdr>
        <w:top w:val="none" w:sz="0" w:space="0" w:color="auto"/>
        <w:left w:val="none" w:sz="0" w:space="0" w:color="auto"/>
        <w:bottom w:val="none" w:sz="0" w:space="0" w:color="auto"/>
        <w:right w:val="none" w:sz="0" w:space="0" w:color="auto"/>
      </w:divBdr>
    </w:div>
    <w:div w:id="901062101">
      <w:bodyDiv w:val="1"/>
      <w:marLeft w:val="0"/>
      <w:marRight w:val="0"/>
      <w:marTop w:val="0"/>
      <w:marBottom w:val="0"/>
      <w:divBdr>
        <w:top w:val="none" w:sz="0" w:space="0" w:color="auto"/>
        <w:left w:val="none" w:sz="0" w:space="0" w:color="auto"/>
        <w:bottom w:val="none" w:sz="0" w:space="0" w:color="auto"/>
        <w:right w:val="none" w:sz="0" w:space="0" w:color="auto"/>
      </w:divBdr>
    </w:div>
    <w:div w:id="912392475">
      <w:bodyDiv w:val="1"/>
      <w:marLeft w:val="0"/>
      <w:marRight w:val="0"/>
      <w:marTop w:val="0"/>
      <w:marBottom w:val="0"/>
      <w:divBdr>
        <w:top w:val="none" w:sz="0" w:space="0" w:color="auto"/>
        <w:left w:val="none" w:sz="0" w:space="0" w:color="auto"/>
        <w:bottom w:val="none" w:sz="0" w:space="0" w:color="auto"/>
        <w:right w:val="none" w:sz="0" w:space="0" w:color="auto"/>
      </w:divBdr>
    </w:div>
    <w:div w:id="919212154">
      <w:bodyDiv w:val="1"/>
      <w:marLeft w:val="0"/>
      <w:marRight w:val="0"/>
      <w:marTop w:val="0"/>
      <w:marBottom w:val="0"/>
      <w:divBdr>
        <w:top w:val="none" w:sz="0" w:space="0" w:color="auto"/>
        <w:left w:val="none" w:sz="0" w:space="0" w:color="auto"/>
        <w:bottom w:val="none" w:sz="0" w:space="0" w:color="auto"/>
        <w:right w:val="none" w:sz="0" w:space="0" w:color="auto"/>
      </w:divBdr>
    </w:div>
    <w:div w:id="928197307">
      <w:bodyDiv w:val="1"/>
      <w:marLeft w:val="0"/>
      <w:marRight w:val="0"/>
      <w:marTop w:val="0"/>
      <w:marBottom w:val="0"/>
      <w:divBdr>
        <w:top w:val="none" w:sz="0" w:space="0" w:color="auto"/>
        <w:left w:val="none" w:sz="0" w:space="0" w:color="auto"/>
        <w:bottom w:val="none" w:sz="0" w:space="0" w:color="auto"/>
        <w:right w:val="none" w:sz="0" w:space="0" w:color="auto"/>
      </w:divBdr>
    </w:div>
    <w:div w:id="934753407">
      <w:bodyDiv w:val="1"/>
      <w:marLeft w:val="0"/>
      <w:marRight w:val="0"/>
      <w:marTop w:val="0"/>
      <w:marBottom w:val="0"/>
      <w:divBdr>
        <w:top w:val="none" w:sz="0" w:space="0" w:color="auto"/>
        <w:left w:val="none" w:sz="0" w:space="0" w:color="auto"/>
        <w:bottom w:val="none" w:sz="0" w:space="0" w:color="auto"/>
        <w:right w:val="none" w:sz="0" w:space="0" w:color="auto"/>
      </w:divBdr>
    </w:div>
    <w:div w:id="940185792">
      <w:bodyDiv w:val="1"/>
      <w:marLeft w:val="0"/>
      <w:marRight w:val="0"/>
      <w:marTop w:val="0"/>
      <w:marBottom w:val="0"/>
      <w:divBdr>
        <w:top w:val="none" w:sz="0" w:space="0" w:color="auto"/>
        <w:left w:val="none" w:sz="0" w:space="0" w:color="auto"/>
        <w:bottom w:val="none" w:sz="0" w:space="0" w:color="auto"/>
        <w:right w:val="none" w:sz="0" w:space="0" w:color="auto"/>
      </w:divBdr>
    </w:div>
    <w:div w:id="941838396">
      <w:bodyDiv w:val="1"/>
      <w:marLeft w:val="0"/>
      <w:marRight w:val="0"/>
      <w:marTop w:val="0"/>
      <w:marBottom w:val="0"/>
      <w:divBdr>
        <w:top w:val="none" w:sz="0" w:space="0" w:color="auto"/>
        <w:left w:val="none" w:sz="0" w:space="0" w:color="auto"/>
        <w:bottom w:val="none" w:sz="0" w:space="0" w:color="auto"/>
        <w:right w:val="none" w:sz="0" w:space="0" w:color="auto"/>
      </w:divBdr>
    </w:div>
    <w:div w:id="980306585">
      <w:bodyDiv w:val="1"/>
      <w:marLeft w:val="0"/>
      <w:marRight w:val="0"/>
      <w:marTop w:val="0"/>
      <w:marBottom w:val="0"/>
      <w:divBdr>
        <w:top w:val="none" w:sz="0" w:space="0" w:color="auto"/>
        <w:left w:val="none" w:sz="0" w:space="0" w:color="auto"/>
        <w:bottom w:val="none" w:sz="0" w:space="0" w:color="auto"/>
        <w:right w:val="none" w:sz="0" w:space="0" w:color="auto"/>
      </w:divBdr>
    </w:div>
    <w:div w:id="986906939">
      <w:bodyDiv w:val="1"/>
      <w:marLeft w:val="0"/>
      <w:marRight w:val="0"/>
      <w:marTop w:val="0"/>
      <w:marBottom w:val="0"/>
      <w:divBdr>
        <w:top w:val="none" w:sz="0" w:space="0" w:color="auto"/>
        <w:left w:val="none" w:sz="0" w:space="0" w:color="auto"/>
        <w:bottom w:val="none" w:sz="0" w:space="0" w:color="auto"/>
        <w:right w:val="none" w:sz="0" w:space="0" w:color="auto"/>
      </w:divBdr>
    </w:div>
    <w:div w:id="988090385">
      <w:bodyDiv w:val="1"/>
      <w:marLeft w:val="0"/>
      <w:marRight w:val="0"/>
      <w:marTop w:val="0"/>
      <w:marBottom w:val="0"/>
      <w:divBdr>
        <w:top w:val="none" w:sz="0" w:space="0" w:color="auto"/>
        <w:left w:val="none" w:sz="0" w:space="0" w:color="auto"/>
        <w:bottom w:val="none" w:sz="0" w:space="0" w:color="auto"/>
        <w:right w:val="none" w:sz="0" w:space="0" w:color="auto"/>
      </w:divBdr>
    </w:div>
    <w:div w:id="990065069">
      <w:bodyDiv w:val="1"/>
      <w:marLeft w:val="0"/>
      <w:marRight w:val="0"/>
      <w:marTop w:val="0"/>
      <w:marBottom w:val="0"/>
      <w:divBdr>
        <w:top w:val="none" w:sz="0" w:space="0" w:color="auto"/>
        <w:left w:val="none" w:sz="0" w:space="0" w:color="auto"/>
        <w:bottom w:val="none" w:sz="0" w:space="0" w:color="auto"/>
        <w:right w:val="none" w:sz="0" w:space="0" w:color="auto"/>
      </w:divBdr>
    </w:div>
    <w:div w:id="997728654">
      <w:bodyDiv w:val="1"/>
      <w:marLeft w:val="0"/>
      <w:marRight w:val="0"/>
      <w:marTop w:val="0"/>
      <w:marBottom w:val="0"/>
      <w:divBdr>
        <w:top w:val="none" w:sz="0" w:space="0" w:color="auto"/>
        <w:left w:val="none" w:sz="0" w:space="0" w:color="auto"/>
        <w:bottom w:val="none" w:sz="0" w:space="0" w:color="auto"/>
        <w:right w:val="none" w:sz="0" w:space="0" w:color="auto"/>
      </w:divBdr>
    </w:div>
    <w:div w:id="997882790">
      <w:bodyDiv w:val="1"/>
      <w:marLeft w:val="0"/>
      <w:marRight w:val="0"/>
      <w:marTop w:val="0"/>
      <w:marBottom w:val="0"/>
      <w:divBdr>
        <w:top w:val="none" w:sz="0" w:space="0" w:color="auto"/>
        <w:left w:val="none" w:sz="0" w:space="0" w:color="auto"/>
        <w:bottom w:val="none" w:sz="0" w:space="0" w:color="auto"/>
        <w:right w:val="none" w:sz="0" w:space="0" w:color="auto"/>
      </w:divBdr>
    </w:div>
    <w:div w:id="1009257472">
      <w:bodyDiv w:val="1"/>
      <w:marLeft w:val="0"/>
      <w:marRight w:val="0"/>
      <w:marTop w:val="0"/>
      <w:marBottom w:val="0"/>
      <w:divBdr>
        <w:top w:val="none" w:sz="0" w:space="0" w:color="auto"/>
        <w:left w:val="none" w:sz="0" w:space="0" w:color="auto"/>
        <w:bottom w:val="none" w:sz="0" w:space="0" w:color="auto"/>
        <w:right w:val="none" w:sz="0" w:space="0" w:color="auto"/>
      </w:divBdr>
    </w:div>
    <w:div w:id="1023097663">
      <w:bodyDiv w:val="1"/>
      <w:marLeft w:val="0"/>
      <w:marRight w:val="0"/>
      <w:marTop w:val="0"/>
      <w:marBottom w:val="0"/>
      <w:divBdr>
        <w:top w:val="none" w:sz="0" w:space="0" w:color="auto"/>
        <w:left w:val="none" w:sz="0" w:space="0" w:color="auto"/>
        <w:bottom w:val="none" w:sz="0" w:space="0" w:color="auto"/>
        <w:right w:val="none" w:sz="0" w:space="0" w:color="auto"/>
      </w:divBdr>
    </w:div>
    <w:div w:id="1032421211">
      <w:bodyDiv w:val="1"/>
      <w:marLeft w:val="0"/>
      <w:marRight w:val="0"/>
      <w:marTop w:val="0"/>
      <w:marBottom w:val="0"/>
      <w:divBdr>
        <w:top w:val="none" w:sz="0" w:space="0" w:color="auto"/>
        <w:left w:val="none" w:sz="0" w:space="0" w:color="auto"/>
        <w:bottom w:val="none" w:sz="0" w:space="0" w:color="auto"/>
        <w:right w:val="none" w:sz="0" w:space="0" w:color="auto"/>
      </w:divBdr>
    </w:div>
    <w:div w:id="1052339750">
      <w:bodyDiv w:val="1"/>
      <w:marLeft w:val="0"/>
      <w:marRight w:val="0"/>
      <w:marTop w:val="0"/>
      <w:marBottom w:val="0"/>
      <w:divBdr>
        <w:top w:val="none" w:sz="0" w:space="0" w:color="auto"/>
        <w:left w:val="none" w:sz="0" w:space="0" w:color="auto"/>
        <w:bottom w:val="none" w:sz="0" w:space="0" w:color="auto"/>
        <w:right w:val="none" w:sz="0" w:space="0" w:color="auto"/>
      </w:divBdr>
    </w:div>
    <w:div w:id="1052575605">
      <w:bodyDiv w:val="1"/>
      <w:marLeft w:val="0"/>
      <w:marRight w:val="0"/>
      <w:marTop w:val="0"/>
      <w:marBottom w:val="0"/>
      <w:divBdr>
        <w:top w:val="none" w:sz="0" w:space="0" w:color="auto"/>
        <w:left w:val="none" w:sz="0" w:space="0" w:color="auto"/>
        <w:bottom w:val="none" w:sz="0" w:space="0" w:color="auto"/>
        <w:right w:val="none" w:sz="0" w:space="0" w:color="auto"/>
      </w:divBdr>
    </w:div>
    <w:div w:id="1070614497">
      <w:bodyDiv w:val="1"/>
      <w:marLeft w:val="0"/>
      <w:marRight w:val="0"/>
      <w:marTop w:val="0"/>
      <w:marBottom w:val="0"/>
      <w:divBdr>
        <w:top w:val="none" w:sz="0" w:space="0" w:color="auto"/>
        <w:left w:val="none" w:sz="0" w:space="0" w:color="auto"/>
        <w:bottom w:val="none" w:sz="0" w:space="0" w:color="auto"/>
        <w:right w:val="none" w:sz="0" w:space="0" w:color="auto"/>
      </w:divBdr>
    </w:div>
    <w:div w:id="1114248959">
      <w:bodyDiv w:val="1"/>
      <w:marLeft w:val="0"/>
      <w:marRight w:val="0"/>
      <w:marTop w:val="0"/>
      <w:marBottom w:val="0"/>
      <w:divBdr>
        <w:top w:val="none" w:sz="0" w:space="0" w:color="auto"/>
        <w:left w:val="none" w:sz="0" w:space="0" w:color="auto"/>
        <w:bottom w:val="none" w:sz="0" w:space="0" w:color="auto"/>
        <w:right w:val="none" w:sz="0" w:space="0" w:color="auto"/>
      </w:divBdr>
    </w:div>
    <w:div w:id="1120731585">
      <w:bodyDiv w:val="1"/>
      <w:marLeft w:val="0"/>
      <w:marRight w:val="0"/>
      <w:marTop w:val="0"/>
      <w:marBottom w:val="0"/>
      <w:divBdr>
        <w:top w:val="none" w:sz="0" w:space="0" w:color="auto"/>
        <w:left w:val="none" w:sz="0" w:space="0" w:color="auto"/>
        <w:bottom w:val="none" w:sz="0" w:space="0" w:color="auto"/>
        <w:right w:val="none" w:sz="0" w:space="0" w:color="auto"/>
      </w:divBdr>
    </w:div>
    <w:div w:id="1136216162">
      <w:bodyDiv w:val="1"/>
      <w:marLeft w:val="0"/>
      <w:marRight w:val="0"/>
      <w:marTop w:val="0"/>
      <w:marBottom w:val="0"/>
      <w:divBdr>
        <w:top w:val="none" w:sz="0" w:space="0" w:color="auto"/>
        <w:left w:val="none" w:sz="0" w:space="0" w:color="auto"/>
        <w:bottom w:val="none" w:sz="0" w:space="0" w:color="auto"/>
        <w:right w:val="none" w:sz="0" w:space="0" w:color="auto"/>
      </w:divBdr>
    </w:div>
    <w:div w:id="1161694578">
      <w:bodyDiv w:val="1"/>
      <w:marLeft w:val="0"/>
      <w:marRight w:val="0"/>
      <w:marTop w:val="0"/>
      <w:marBottom w:val="0"/>
      <w:divBdr>
        <w:top w:val="none" w:sz="0" w:space="0" w:color="auto"/>
        <w:left w:val="none" w:sz="0" w:space="0" w:color="auto"/>
        <w:bottom w:val="none" w:sz="0" w:space="0" w:color="auto"/>
        <w:right w:val="none" w:sz="0" w:space="0" w:color="auto"/>
      </w:divBdr>
    </w:div>
    <w:div w:id="1166361793">
      <w:bodyDiv w:val="1"/>
      <w:marLeft w:val="0"/>
      <w:marRight w:val="0"/>
      <w:marTop w:val="0"/>
      <w:marBottom w:val="0"/>
      <w:divBdr>
        <w:top w:val="none" w:sz="0" w:space="0" w:color="auto"/>
        <w:left w:val="none" w:sz="0" w:space="0" w:color="auto"/>
        <w:bottom w:val="none" w:sz="0" w:space="0" w:color="auto"/>
        <w:right w:val="none" w:sz="0" w:space="0" w:color="auto"/>
      </w:divBdr>
    </w:div>
    <w:div w:id="1166630589">
      <w:bodyDiv w:val="1"/>
      <w:marLeft w:val="0"/>
      <w:marRight w:val="0"/>
      <w:marTop w:val="0"/>
      <w:marBottom w:val="0"/>
      <w:divBdr>
        <w:top w:val="none" w:sz="0" w:space="0" w:color="auto"/>
        <w:left w:val="none" w:sz="0" w:space="0" w:color="auto"/>
        <w:bottom w:val="none" w:sz="0" w:space="0" w:color="auto"/>
        <w:right w:val="none" w:sz="0" w:space="0" w:color="auto"/>
      </w:divBdr>
    </w:div>
    <w:div w:id="1166898406">
      <w:bodyDiv w:val="1"/>
      <w:marLeft w:val="0"/>
      <w:marRight w:val="0"/>
      <w:marTop w:val="0"/>
      <w:marBottom w:val="0"/>
      <w:divBdr>
        <w:top w:val="none" w:sz="0" w:space="0" w:color="auto"/>
        <w:left w:val="none" w:sz="0" w:space="0" w:color="auto"/>
        <w:bottom w:val="none" w:sz="0" w:space="0" w:color="auto"/>
        <w:right w:val="none" w:sz="0" w:space="0" w:color="auto"/>
      </w:divBdr>
    </w:div>
    <w:div w:id="1179849571">
      <w:bodyDiv w:val="1"/>
      <w:marLeft w:val="0"/>
      <w:marRight w:val="0"/>
      <w:marTop w:val="0"/>
      <w:marBottom w:val="0"/>
      <w:divBdr>
        <w:top w:val="none" w:sz="0" w:space="0" w:color="auto"/>
        <w:left w:val="none" w:sz="0" w:space="0" w:color="auto"/>
        <w:bottom w:val="none" w:sz="0" w:space="0" w:color="auto"/>
        <w:right w:val="none" w:sz="0" w:space="0" w:color="auto"/>
      </w:divBdr>
    </w:div>
    <w:div w:id="1180241629">
      <w:bodyDiv w:val="1"/>
      <w:marLeft w:val="0"/>
      <w:marRight w:val="0"/>
      <w:marTop w:val="0"/>
      <w:marBottom w:val="0"/>
      <w:divBdr>
        <w:top w:val="none" w:sz="0" w:space="0" w:color="auto"/>
        <w:left w:val="none" w:sz="0" w:space="0" w:color="auto"/>
        <w:bottom w:val="none" w:sz="0" w:space="0" w:color="auto"/>
        <w:right w:val="none" w:sz="0" w:space="0" w:color="auto"/>
      </w:divBdr>
    </w:div>
    <w:div w:id="1198197367">
      <w:bodyDiv w:val="1"/>
      <w:marLeft w:val="0"/>
      <w:marRight w:val="0"/>
      <w:marTop w:val="0"/>
      <w:marBottom w:val="0"/>
      <w:divBdr>
        <w:top w:val="none" w:sz="0" w:space="0" w:color="auto"/>
        <w:left w:val="none" w:sz="0" w:space="0" w:color="auto"/>
        <w:bottom w:val="none" w:sz="0" w:space="0" w:color="auto"/>
        <w:right w:val="none" w:sz="0" w:space="0" w:color="auto"/>
      </w:divBdr>
    </w:div>
    <w:div w:id="1225720980">
      <w:bodyDiv w:val="1"/>
      <w:marLeft w:val="0"/>
      <w:marRight w:val="0"/>
      <w:marTop w:val="0"/>
      <w:marBottom w:val="0"/>
      <w:divBdr>
        <w:top w:val="none" w:sz="0" w:space="0" w:color="auto"/>
        <w:left w:val="none" w:sz="0" w:space="0" w:color="auto"/>
        <w:bottom w:val="none" w:sz="0" w:space="0" w:color="auto"/>
        <w:right w:val="none" w:sz="0" w:space="0" w:color="auto"/>
      </w:divBdr>
    </w:div>
    <w:div w:id="1250852241">
      <w:bodyDiv w:val="1"/>
      <w:marLeft w:val="0"/>
      <w:marRight w:val="0"/>
      <w:marTop w:val="0"/>
      <w:marBottom w:val="0"/>
      <w:divBdr>
        <w:top w:val="none" w:sz="0" w:space="0" w:color="auto"/>
        <w:left w:val="none" w:sz="0" w:space="0" w:color="auto"/>
        <w:bottom w:val="none" w:sz="0" w:space="0" w:color="auto"/>
        <w:right w:val="none" w:sz="0" w:space="0" w:color="auto"/>
      </w:divBdr>
    </w:div>
    <w:div w:id="1250886807">
      <w:bodyDiv w:val="1"/>
      <w:marLeft w:val="0"/>
      <w:marRight w:val="0"/>
      <w:marTop w:val="0"/>
      <w:marBottom w:val="0"/>
      <w:divBdr>
        <w:top w:val="none" w:sz="0" w:space="0" w:color="auto"/>
        <w:left w:val="none" w:sz="0" w:space="0" w:color="auto"/>
        <w:bottom w:val="none" w:sz="0" w:space="0" w:color="auto"/>
        <w:right w:val="none" w:sz="0" w:space="0" w:color="auto"/>
      </w:divBdr>
    </w:div>
    <w:div w:id="1264919392">
      <w:bodyDiv w:val="1"/>
      <w:marLeft w:val="0"/>
      <w:marRight w:val="0"/>
      <w:marTop w:val="0"/>
      <w:marBottom w:val="0"/>
      <w:divBdr>
        <w:top w:val="none" w:sz="0" w:space="0" w:color="auto"/>
        <w:left w:val="none" w:sz="0" w:space="0" w:color="auto"/>
        <w:bottom w:val="none" w:sz="0" w:space="0" w:color="auto"/>
        <w:right w:val="none" w:sz="0" w:space="0" w:color="auto"/>
      </w:divBdr>
    </w:div>
    <w:div w:id="1311522186">
      <w:bodyDiv w:val="1"/>
      <w:marLeft w:val="0"/>
      <w:marRight w:val="0"/>
      <w:marTop w:val="0"/>
      <w:marBottom w:val="0"/>
      <w:divBdr>
        <w:top w:val="none" w:sz="0" w:space="0" w:color="auto"/>
        <w:left w:val="none" w:sz="0" w:space="0" w:color="auto"/>
        <w:bottom w:val="none" w:sz="0" w:space="0" w:color="auto"/>
        <w:right w:val="none" w:sz="0" w:space="0" w:color="auto"/>
      </w:divBdr>
    </w:div>
    <w:div w:id="1312514765">
      <w:bodyDiv w:val="1"/>
      <w:marLeft w:val="0"/>
      <w:marRight w:val="0"/>
      <w:marTop w:val="0"/>
      <w:marBottom w:val="0"/>
      <w:divBdr>
        <w:top w:val="none" w:sz="0" w:space="0" w:color="auto"/>
        <w:left w:val="none" w:sz="0" w:space="0" w:color="auto"/>
        <w:bottom w:val="none" w:sz="0" w:space="0" w:color="auto"/>
        <w:right w:val="none" w:sz="0" w:space="0" w:color="auto"/>
      </w:divBdr>
    </w:div>
    <w:div w:id="1323043464">
      <w:bodyDiv w:val="1"/>
      <w:marLeft w:val="0"/>
      <w:marRight w:val="0"/>
      <w:marTop w:val="0"/>
      <w:marBottom w:val="0"/>
      <w:divBdr>
        <w:top w:val="none" w:sz="0" w:space="0" w:color="auto"/>
        <w:left w:val="none" w:sz="0" w:space="0" w:color="auto"/>
        <w:bottom w:val="none" w:sz="0" w:space="0" w:color="auto"/>
        <w:right w:val="none" w:sz="0" w:space="0" w:color="auto"/>
      </w:divBdr>
    </w:div>
    <w:div w:id="1328052968">
      <w:bodyDiv w:val="1"/>
      <w:marLeft w:val="0"/>
      <w:marRight w:val="0"/>
      <w:marTop w:val="0"/>
      <w:marBottom w:val="0"/>
      <w:divBdr>
        <w:top w:val="none" w:sz="0" w:space="0" w:color="auto"/>
        <w:left w:val="none" w:sz="0" w:space="0" w:color="auto"/>
        <w:bottom w:val="none" w:sz="0" w:space="0" w:color="auto"/>
        <w:right w:val="none" w:sz="0" w:space="0" w:color="auto"/>
      </w:divBdr>
    </w:div>
    <w:div w:id="1337073697">
      <w:bodyDiv w:val="1"/>
      <w:marLeft w:val="0"/>
      <w:marRight w:val="0"/>
      <w:marTop w:val="0"/>
      <w:marBottom w:val="0"/>
      <w:divBdr>
        <w:top w:val="none" w:sz="0" w:space="0" w:color="auto"/>
        <w:left w:val="none" w:sz="0" w:space="0" w:color="auto"/>
        <w:bottom w:val="none" w:sz="0" w:space="0" w:color="auto"/>
        <w:right w:val="none" w:sz="0" w:space="0" w:color="auto"/>
      </w:divBdr>
    </w:div>
    <w:div w:id="1345087193">
      <w:bodyDiv w:val="1"/>
      <w:marLeft w:val="0"/>
      <w:marRight w:val="0"/>
      <w:marTop w:val="0"/>
      <w:marBottom w:val="0"/>
      <w:divBdr>
        <w:top w:val="none" w:sz="0" w:space="0" w:color="auto"/>
        <w:left w:val="none" w:sz="0" w:space="0" w:color="auto"/>
        <w:bottom w:val="none" w:sz="0" w:space="0" w:color="auto"/>
        <w:right w:val="none" w:sz="0" w:space="0" w:color="auto"/>
      </w:divBdr>
    </w:div>
    <w:div w:id="1360426203">
      <w:bodyDiv w:val="1"/>
      <w:marLeft w:val="0"/>
      <w:marRight w:val="0"/>
      <w:marTop w:val="0"/>
      <w:marBottom w:val="0"/>
      <w:divBdr>
        <w:top w:val="none" w:sz="0" w:space="0" w:color="auto"/>
        <w:left w:val="none" w:sz="0" w:space="0" w:color="auto"/>
        <w:bottom w:val="none" w:sz="0" w:space="0" w:color="auto"/>
        <w:right w:val="none" w:sz="0" w:space="0" w:color="auto"/>
      </w:divBdr>
    </w:div>
    <w:div w:id="1360739628">
      <w:bodyDiv w:val="1"/>
      <w:marLeft w:val="0"/>
      <w:marRight w:val="0"/>
      <w:marTop w:val="0"/>
      <w:marBottom w:val="0"/>
      <w:divBdr>
        <w:top w:val="none" w:sz="0" w:space="0" w:color="auto"/>
        <w:left w:val="none" w:sz="0" w:space="0" w:color="auto"/>
        <w:bottom w:val="none" w:sz="0" w:space="0" w:color="auto"/>
        <w:right w:val="none" w:sz="0" w:space="0" w:color="auto"/>
      </w:divBdr>
    </w:div>
    <w:div w:id="1364405632">
      <w:bodyDiv w:val="1"/>
      <w:marLeft w:val="0"/>
      <w:marRight w:val="0"/>
      <w:marTop w:val="0"/>
      <w:marBottom w:val="0"/>
      <w:divBdr>
        <w:top w:val="none" w:sz="0" w:space="0" w:color="auto"/>
        <w:left w:val="none" w:sz="0" w:space="0" w:color="auto"/>
        <w:bottom w:val="none" w:sz="0" w:space="0" w:color="auto"/>
        <w:right w:val="none" w:sz="0" w:space="0" w:color="auto"/>
      </w:divBdr>
    </w:div>
    <w:div w:id="1369143472">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389957217">
      <w:bodyDiv w:val="1"/>
      <w:marLeft w:val="0"/>
      <w:marRight w:val="0"/>
      <w:marTop w:val="0"/>
      <w:marBottom w:val="0"/>
      <w:divBdr>
        <w:top w:val="none" w:sz="0" w:space="0" w:color="auto"/>
        <w:left w:val="none" w:sz="0" w:space="0" w:color="auto"/>
        <w:bottom w:val="none" w:sz="0" w:space="0" w:color="auto"/>
        <w:right w:val="none" w:sz="0" w:space="0" w:color="auto"/>
      </w:divBdr>
    </w:div>
    <w:div w:id="1418675656">
      <w:bodyDiv w:val="1"/>
      <w:marLeft w:val="0"/>
      <w:marRight w:val="0"/>
      <w:marTop w:val="0"/>
      <w:marBottom w:val="0"/>
      <w:divBdr>
        <w:top w:val="none" w:sz="0" w:space="0" w:color="auto"/>
        <w:left w:val="none" w:sz="0" w:space="0" w:color="auto"/>
        <w:bottom w:val="none" w:sz="0" w:space="0" w:color="auto"/>
        <w:right w:val="none" w:sz="0" w:space="0" w:color="auto"/>
      </w:divBdr>
    </w:div>
    <w:div w:id="1445003722">
      <w:bodyDiv w:val="1"/>
      <w:marLeft w:val="0"/>
      <w:marRight w:val="0"/>
      <w:marTop w:val="0"/>
      <w:marBottom w:val="0"/>
      <w:divBdr>
        <w:top w:val="none" w:sz="0" w:space="0" w:color="auto"/>
        <w:left w:val="none" w:sz="0" w:space="0" w:color="auto"/>
        <w:bottom w:val="none" w:sz="0" w:space="0" w:color="auto"/>
        <w:right w:val="none" w:sz="0" w:space="0" w:color="auto"/>
      </w:divBdr>
    </w:div>
    <w:div w:id="1457061921">
      <w:bodyDiv w:val="1"/>
      <w:marLeft w:val="0"/>
      <w:marRight w:val="0"/>
      <w:marTop w:val="0"/>
      <w:marBottom w:val="0"/>
      <w:divBdr>
        <w:top w:val="none" w:sz="0" w:space="0" w:color="auto"/>
        <w:left w:val="none" w:sz="0" w:space="0" w:color="auto"/>
        <w:bottom w:val="none" w:sz="0" w:space="0" w:color="auto"/>
        <w:right w:val="none" w:sz="0" w:space="0" w:color="auto"/>
      </w:divBdr>
    </w:div>
    <w:div w:id="1467317021">
      <w:bodyDiv w:val="1"/>
      <w:marLeft w:val="0"/>
      <w:marRight w:val="0"/>
      <w:marTop w:val="0"/>
      <w:marBottom w:val="0"/>
      <w:divBdr>
        <w:top w:val="none" w:sz="0" w:space="0" w:color="auto"/>
        <w:left w:val="none" w:sz="0" w:space="0" w:color="auto"/>
        <w:bottom w:val="none" w:sz="0" w:space="0" w:color="auto"/>
        <w:right w:val="none" w:sz="0" w:space="0" w:color="auto"/>
      </w:divBdr>
    </w:div>
    <w:div w:id="1480422437">
      <w:bodyDiv w:val="1"/>
      <w:marLeft w:val="0"/>
      <w:marRight w:val="0"/>
      <w:marTop w:val="0"/>
      <w:marBottom w:val="0"/>
      <w:divBdr>
        <w:top w:val="none" w:sz="0" w:space="0" w:color="auto"/>
        <w:left w:val="none" w:sz="0" w:space="0" w:color="auto"/>
        <w:bottom w:val="none" w:sz="0" w:space="0" w:color="auto"/>
        <w:right w:val="none" w:sz="0" w:space="0" w:color="auto"/>
      </w:divBdr>
    </w:div>
    <w:div w:id="1486312254">
      <w:bodyDiv w:val="1"/>
      <w:marLeft w:val="0"/>
      <w:marRight w:val="0"/>
      <w:marTop w:val="0"/>
      <w:marBottom w:val="0"/>
      <w:divBdr>
        <w:top w:val="none" w:sz="0" w:space="0" w:color="auto"/>
        <w:left w:val="none" w:sz="0" w:space="0" w:color="auto"/>
        <w:bottom w:val="none" w:sz="0" w:space="0" w:color="auto"/>
        <w:right w:val="none" w:sz="0" w:space="0" w:color="auto"/>
      </w:divBdr>
    </w:div>
    <w:div w:id="1525166586">
      <w:bodyDiv w:val="1"/>
      <w:marLeft w:val="0"/>
      <w:marRight w:val="0"/>
      <w:marTop w:val="0"/>
      <w:marBottom w:val="0"/>
      <w:divBdr>
        <w:top w:val="none" w:sz="0" w:space="0" w:color="auto"/>
        <w:left w:val="none" w:sz="0" w:space="0" w:color="auto"/>
        <w:bottom w:val="none" w:sz="0" w:space="0" w:color="auto"/>
        <w:right w:val="none" w:sz="0" w:space="0" w:color="auto"/>
      </w:divBdr>
    </w:div>
    <w:div w:id="1550339433">
      <w:bodyDiv w:val="1"/>
      <w:marLeft w:val="0"/>
      <w:marRight w:val="0"/>
      <w:marTop w:val="0"/>
      <w:marBottom w:val="0"/>
      <w:divBdr>
        <w:top w:val="none" w:sz="0" w:space="0" w:color="auto"/>
        <w:left w:val="none" w:sz="0" w:space="0" w:color="auto"/>
        <w:bottom w:val="none" w:sz="0" w:space="0" w:color="auto"/>
        <w:right w:val="none" w:sz="0" w:space="0" w:color="auto"/>
      </w:divBdr>
    </w:div>
    <w:div w:id="1550799354">
      <w:bodyDiv w:val="1"/>
      <w:marLeft w:val="0"/>
      <w:marRight w:val="0"/>
      <w:marTop w:val="0"/>
      <w:marBottom w:val="0"/>
      <w:divBdr>
        <w:top w:val="none" w:sz="0" w:space="0" w:color="auto"/>
        <w:left w:val="none" w:sz="0" w:space="0" w:color="auto"/>
        <w:bottom w:val="none" w:sz="0" w:space="0" w:color="auto"/>
        <w:right w:val="none" w:sz="0" w:space="0" w:color="auto"/>
      </w:divBdr>
    </w:div>
    <w:div w:id="1562863322">
      <w:bodyDiv w:val="1"/>
      <w:marLeft w:val="0"/>
      <w:marRight w:val="0"/>
      <w:marTop w:val="0"/>
      <w:marBottom w:val="0"/>
      <w:divBdr>
        <w:top w:val="none" w:sz="0" w:space="0" w:color="auto"/>
        <w:left w:val="none" w:sz="0" w:space="0" w:color="auto"/>
        <w:bottom w:val="none" w:sz="0" w:space="0" w:color="auto"/>
        <w:right w:val="none" w:sz="0" w:space="0" w:color="auto"/>
      </w:divBdr>
    </w:div>
    <w:div w:id="1575823919">
      <w:bodyDiv w:val="1"/>
      <w:marLeft w:val="0"/>
      <w:marRight w:val="0"/>
      <w:marTop w:val="0"/>
      <w:marBottom w:val="0"/>
      <w:divBdr>
        <w:top w:val="none" w:sz="0" w:space="0" w:color="auto"/>
        <w:left w:val="none" w:sz="0" w:space="0" w:color="auto"/>
        <w:bottom w:val="none" w:sz="0" w:space="0" w:color="auto"/>
        <w:right w:val="none" w:sz="0" w:space="0" w:color="auto"/>
      </w:divBdr>
    </w:div>
    <w:div w:id="1577474179">
      <w:bodyDiv w:val="1"/>
      <w:marLeft w:val="0"/>
      <w:marRight w:val="0"/>
      <w:marTop w:val="0"/>
      <w:marBottom w:val="0"/>
      <w:divBdr>
        <w:top w:val="none" w:sz="0" w:space="0" w:color="auto"/>
        <w:left w:val="none" w:sz="0" w:space="0" w:color="auto"/>
        <w:bottom w:val="none" w:sz="0" w:space="0" w:color="auto"/>
        <w:right w:val="none" w:sz="0" w:space="0" w:color="auto"/>
      </w:divBdr>
    </w:div>
    <w:div w:id="1586187516">
      <w:bodyDiv w:val="1"/>
      <w:marLeft w:val="0"/>
      <w:marRight w:val="0"/>
      <w:marTop w:val="0"/>
      <w:marBottom w:val="0"/>
      <w:divBdr>
        <w:top w:val="none" w:sz="0" w:space="0" w:color="auto"/>
        <w:left w:val="none" w:sz="0" w:space="0" w:color="auto"/>
        <w:bottom w:val="none" w:sz="0" w:space="0" w:color="auto"/>
        <w:right w:val="none" w:sz="0" w:space="0" w:color="auto"/>
      </w:divBdr>
    </w:div>
    <w:div w:id="1612281264">
      <w:bodyDiv w:val="1"/>
      <w:marLeft w:val="0"/>
      <w:marRight w:val="0"/>
      <w:marTop w:val="0"/>
      <w:marBottom w:val="0"/>
      <w:divBdr>
        <w:top w:val="none" w:sz="0" w:space="0" w:color="auto"/>
        <w:left w:val="none" w:sz="0" w:space="0" w:color="auto"/>
        <w:bottom w:val="none" w:sz="0" w:space="0" w:color="auto"/>
        <w:right w:val="none" w:sz="0" w:space="0" w:color="auto"/>
      </w:divBdr>
    </w:div>
    <w:div w:id="1623026583">
      <w:bodyDiv w:val="1"/>
      <w:marLeft w:val="0"/>
      <w:marRight w:val="0"/>
      <w:marTop w:val="0"/>
      <w:marBottom w:val="0"/>
      <w:divBdr>
        <w:top w:val="none" w:sz="0" w:space="0" w:color="auto"/>
        <w:left w:val="none" w:sz="0" w:space="0" w:color="auto"/>
        <w:bottom w:val="none" w:sz="0" w:space="0" w:color="auto"/>
        <w:right w:val="none" w:sz="0" w:space="0" w:color="auto"/>
      </w:divBdr>
    </w:div>
    <w:div w:id="1638755525">
      <w:bodyDiv w:val="1"/>
      <w:marLeft w:val="0"/>
      <w:marRight w:val="0"/>
      <w:marTop w:val="0"/>
      <w:marBottom w:val="0"/>
      <w:divBdr>
        <w:top w:val="none" w:sz="0" w:space="0" w:color="auto"/>
        <w:left w:val="none" w:sz="0" w:space="0" w:color="auto"/>
        <w:bottom w:val="none" w:sz="0" w:space="0" w:color="auto"/>
        <w:right w:val="none" w:sz="0" w:space="0" w:color="auto"/>
      </w:divBdr>
    </w:div>
    <w:div w:id="1655908638">
      <w:bodyDiv w:val="1"/>
      <w:marLeft w:val="0"/>
      <w:marRight w:val="0"/>
      <w:marTop w:val="0"/>
      <w:marBottom w:val="0"/>
      <w:divBdr>
        <w:top w:val="none" w:sz="0" w:space="0" w:color="auto"/>
        <w:left w:val="none" w:sz="0" w:space="0" w:color="auto"/>
        <w:bottom w:val="none" w:sz="0" w:space="0" w:color="auto"/>
        <w:right w:val="none" w:sz="0" w:space="0" w:color="auto"/>
      </w:divBdr>
    </w:div>
    <w:div w:id="1661497327">
      <w:bodyDiv w:val="1"/>
      <w:marLeft w:val="0"/>
      <w:marRight w:val="0"/>
      <w:marTop w:val="0"/>
      <w:marBottom w:val="0"/>
      <w:divBdr>
        <w:top w:val="none" w:sz="0" w:space="0" w:color="auto"/>
        <w:left w:val="none" w:sz="0" w:space="0" w:color="auto"/>
        <w:bottom w:val="none" w:sz="0" w:space="0" w:color="auto"/>
        <w:right w:val="none" w:sz="0" w:space="0" w:color="auto"/>
      </w:divBdr>
    </w:div>
    <w:div w:id="1662542799">
      <w:bodyDiv w:val="1"/>
      <w:marLeft w:val="0"/>
      <w:marRight w:val="0"/>
      <w:marTop w:val="0"/>
      <w:marBottom w:val="0"/>
      <w:divBdr>
        <w:top w:val="none" w:sz="0" w:space="0" w:color="auto"/>
        <w:left w:val="none" w:sz="0" w:space="0" w:color="auto"/>
        <w:bottom w:val="none" w:sz="0" w:space="0" w:color="auto"/>
        <w:right w:val="none" w:sz="0" w:space="0" w:color="auto"/>
      </w:divBdr>
    </w:div>
    <w:div w:id="1673026376">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10646003">
      <w:bodyDiv w:val="1"/>
      <w:marLeft w:val="0"/>
      <w:marRight w:val="0"/>
      <w:marTop w:val="0"/>
      <w:marBottom w:val="0"/>
      <w:divBdr>
        <w:top w:val="none" w:sz="0" w:space="0" w:color="auto"/>
        <w:left w:val="none" w:sz="0" w:space="0" w:color="auto"/>
        <w:bottom w:val="none" w:sz="0" w:space="0" w:color="auto"/>
        <w:right w:val="none" w:sz="0" w:space="0" w:color="auto"/>
      </w:divBdr>
    </w:div>
    <w:div w:id="1720745937">
      <w:bodyDiv w:val="1"/>
      <w:marLeft w:val="0"/>
      <w:marRight w:val="0"/>
      <w:marTop w:val="0"/>
      <w:marBottom w:val="0"/>
      <w:divBdr>
        <w:top w:val="none" w:sz="0" w:space="0" w:color="auto"/>
        <w:left w:val="none" w:sz="0" w:space="0" w:color="auto"/>
        <w:bottom w:val="none" w:sz="0" w:space="0" w:color="auto"/>
        <w:right w:val="none" w:sz="0" w:space="0" w:color="auto"/>
      </w:divBdr>
    </w:div>
    <w:div w:id="1743020316">
      <w:bodyDiv w:val="1"/>
      <w:marLeft w:val="0"/>
      <w:marRight w:val="0"/>
      <w:marTop w:val="0"/>
      <w:marBottom w:val="0"/>
      <w:divBdr>
        <w:top w:val="none" w:sz="0" w:space="0" w:color="auto"/>
        <w:left w:val="none" w:sz="0" w:space="0" w:color="auto"/>
        <w:bottom w:val="none" w:sz="0" w:space="0" w:color="auto"/>
        <w:right w:val="none" w:sz="0" w:space="0" w:color="auto"/>
      </w:divBdr>
    </w:div>
    <w:div w:id="1756049253">
      <w:bodyDiv w:val="1"/>
      <w:marLeft w:val="0"/>
      <w:marRight w:val="0"/>
      <w:marTop w:val="0"/>
      <w:marBottom w:val="0"/>
      <w:divBdr>
        <w:top w:val="none" w:sz="0" w:space="0" w:color="auto"/>
        <w:left w:val="none" w:sz="0" w:space="0" w:color="auto"/>
        <w:bottom w:val="none" w:sz="0" w:space="0" w:color="auto"/>
        <w:right w:val="none" w:sz="0" w:space="0" w:color="auto"/>
      </w:divBdr>
    </w:div>
    <w:div w:id="1768891158">
      <w:bodyDiv w:val="1"/>
      <w:marLeft w:val="0"/>
      <w:marRight w:val="0"/>
      <w:marTop w:val="0"/>
      <w:marBottom w:val="0"/>
      <w:divBdr>
        <w:top w:val="none" w:sz="0" w:space="0" w:color="auto"/>
        <w:left w:val="none" w:sz="0" w:space="0" w:color="auto"/>
        <w:bottom w:val="none" w:sz="0" w:space="0" w:color="auto"/>
        <w:right w:val="none" w:sz="0" w:space="0" w:color="auto"/>
      </w:divBdr>
    </w:div>
    <w:div w:id="1769811516">
      <w:bodyDiv w:val="1"/>
      <w:marLeft w:val="0"/>
      <w:marRight w:val="0"/>
      <w:marTop w:val="0"/>
      <w:marBottom w:val="0"/>
      <w:divBdr>
        <w:top w:val="none" w:sz="0" w:space="0" w:color="auto"/>
        <w:left w:val="none" w:sz="0" w:space="0" w:color="auto"/>
        <w:bottom w:val="none" w:sz="0" w:space="0" w:color="auto"/>
        <w:right w:val="none" w:sz="0" w:space="0" w:color="auto"/>
      </w:divBdr>
    </w:div>
    <w:div w:id="1782800194">
      <w:bodyDiv w:val="1"/>
      <w:marLeft w:val="0"/>
      <w:marRight w:val="0"/>
      <w:marTop w:val="0"/>
      <w:marBottom w:val="0"/>
      <w:divBdr>
        <w:top w:val="none" w:sz="0" w:space="0" w:color="auto"/>
        <w:left w:val="none" w:sz="0" w:space="0" w:color="auto"/>
        <w:bottom w:val="none" w:sz="0" w:space="0" w:color="auto"/>
        <w:right w:val="none" w:sz="0" w:space="0" w:color="auto"/>
      </w:divBdr>
    </w:div>
    <w:div w:id="1786345282">
      <w:bodyDiv w:val="1"/>
      <w:marLeft w:val="0"/>
      <w:marRight w:val="0"/>
      <w:marTop w:val="0"/>
      <w:marBottom w:val="0"/>
      <w:divBdr>
        <w:top w:val="none" w:sz="0" w:space="0" w:color="auto"/>
        <w:left w:val="none" w:sz="0" w:space="0" w:color="auto"/>
        <w:bottom w:val="none" w:sz="0" w:space="0" w:color="auto"/>
        <w:right w:val="none" w:sz="0" w:space="0" w:color="auto"/>
      </w:divBdr>
    </w:div>
    <w:div w:id="1803688344">
      <w:bodyDiv w:val="1"/>
      <w:marLeft w:val="0"/>
      <w:marRight w:val="0"/>
      <w:marTop w:val="0"/>
      <w:marBottom w:val="0"/>
      <w:divBdr>
        <w:top w:val="none" w:sz="0" w:space="0" w:color="auto"/>
        <w:left w:val="none" w:sz="0" w:space="0" w:color="auto"/>
        <w:bottom w:val="none" w:sz="0" w:space="0" w:color="auto"/>
        <w:right w:val="none" w:sz="0" w:space="0" w:color="auto"/>
      </w:divBdr>
    </w:div>
    <w:div w:id="1812743910">
      <w:bodyDiv w:val="1"/>
      <w:marLeft w:val="0"/>
      <w:marRight w:val="0"/>
      <w:marTop w:val="0"/>
      <w:marBottom w:val="0"/>
      <w:divBdr>
        <w:top w:val="none" w:sz="0" w:space="0" w:color="auto"/>
        <w:left w:val="none" w:sz="0" w:space="0" w:color="auto"/>
        <w:bottom w:val="none" w:sz="0" w:space="0" w:color="auto"/>
        <w:right w:val="none" w:sz="0" w:space="0" w:color="auto"/>
      </w:divBdr>
    </w:div>
    <w:div w:id="1820270443">
      <w:bodyDiv w:val="1"/>
      <w:marLeft w:val="0"/>
      <w:marRight w:val="0"/>
      <w:marTop w:val="0"/>
      <w:marBottom w:val="0"/>
      <w:divBdr>
        <w:top w:val="none" w:sz="0" w:space="0" w:color="auto"/>
        <w:left w:val="none" w:sz="0" w:space="0" w:color="auto"/>
        <w:bottom w:val="none" w:sz="0" w:space="0" w:color="auto"/>
        <w:right w:val="none" w:sz="0" w:space="0" w:color="auto"/>
      </w:divBdr>
    </w:div>
    <w:div w:id="1822499104">
      <w:bodyDiv w:val="1"/>
      <w:marLeft w:val="0"/>
      <w:marRight w:val="0"/>
      <w:marTop w:val="0"/>
      <w:marBottom w:val="0"/>
      <w:divBdr>
        <w:top w:val="none" w:sz="0" w:space="0" w:color="auto"/>
        <w:left w:val="none" w:sz="0" w:space="0" w:color="auto"/>
        <w:bottom w:val="none" w:sz="0" w:space="0" w:color="auto"/>
        <w:right w:val="none" w:sz="0" w:space="0" w:color="auto"/>
      </w:divBdr>
    </w:div>
    <w:div w:id="1847673185">
      <w:bodyDiv w:val="1"/>
      <w:marLeft w:val="0"/>
      <w:marRight w:val="0"/>
      <w:marTop w:val="0"/>
      <w:marBottom w:val="0"/>
      <w:divBdr>
        <w:top w:val="none" w:sz="0" w:space="0" w:color="auto"/>
        <w:left w:val="none" w:sz="0" w:space="0" w:color="auto"/>
        <w:bottom w:val="none" w:sz="0" w:space="0" w:color="auto"/>
        <w:right w:val="none" w:sz="0" w:space="0" w:color="auto"/>
      </w:divBdr>
    </w:div>
    <w:div w:id="1873302794">
      <w:bodyDiv w:val="1"/>
      <w:marLeft w:val="0"/>
      <w:marRight w:val="0"/>
      <w:marTop w:val="0"/>
      <w:marBottom w:val="0"/>
      <w:divBdr>
        <w:top w:val="none" w:sz="0" w:space="0" w:color="auto"/>
        <w:left w:val="none" w:sz="0" w:space="0" w:color="auto"/>
        <w:bottom w:val="none" w:sz="0" w:space="0" w:color="auto"/>
        <w:right w:val="none" w:sz="0" w:space="0" w:color="auto"/>
      </w:divBdr>
    </w:div>
    <w:div w:id="1930656757">
      <w:bodyDiv w:val="1"/>
      <w:marLeft w:val="0"/>
      <w:marRight w:val="0"/>
      <w:marTop w:val="0"/>
      <w:marBottom w:val="0"/>
      <w:divBdr>
        <w:top w:val="none" w:sz="0" w:space="0" w:color="auto"/>
        <w:left w:val="none" w:sz="0" w:space="0" w:color="auto"/>
        <w:bottom w:val="none" w:sz="0" w:space="0" w:color="auto"/>
        <w:right w:val="none" w:sz="0" w:space="0" w:color="auto"/>
      </w:divBdr>
    </w:div>
    <w:div w:id="1958873642">
      <w:bodyDiv w:val="1"/>
      <w:marLeft w:val="0"/>
      <w:marRight w:val="0"/>
      <w:marTop w:val="0"/>
      <w:marBottom w:val="0"/>
      <w:divBdr>
        <w:top w:val="none" w:sz="0" w:space="0" w:color="auto"/>
        <w:left w:val="none" w:sz="0" w:space="0" w:color="auto"/>
        <w:bottom w:val="none" w:sz="0" w:space="0" w:color="auto"/>
        <w:right w:val="none" w:sz="0" w:space="0" w:color="auto"/>
      </w:divBdr>
    </w:div>
    <w:div w:id="1964383048">
      <w:bodyDiv w:val="1"/>
      <w:marLeft w:val="0"/>
      <w:marRight w:val="0"/>
      <w:marTop w:val="0"/>
      <w:marBottom w:val="0"/>
      <w:divBdr>
        <w:top w:val="none" w:sz="0" w:space="0" w:color="auto"/>
        <w:left w:val="none" w:sz="0" w:space="0" w:color="auto"/>
        <w:bottom w:val="none" w:sz="0" w:space="0" w:color="auto"/>
        <w:right w:val="none" w:sz="0" w:space="0" w:color="auto"/>
      </w:divBdr>
    </w:div>
    <w:div w:id="1970014515">
      <w:bodyDiv w:val="1"/>
      <w:marLeft w:val="0"/>
      <w:marRight w:val="0"/>
      <w:marTop w:val="0"/>
      <w:marBottom w:val="0"/>
      <w:divBdr>
        <w:top w:val="none" w:sz="0" w:space="0" w:color="auto"/>
        <w:left w:val="none" w:sz="0" w:space="0" w:color="auto"/>
        <w:bottom w:val="none" w:sz="0" w:space="0" w:color="auto"/>
        <w:right w:val="none" w:sz="0" w:space="0" w:color="auto"/>
      </w:divBdr>
    </w:div>
    <w:div w:id="1975135050">
      <w:bodyDiv w:val="1"/>
      <w:marLeft w:val="0"/>
      <w:marRight w:val="0"/>
      <w:marTop w:val="0"/>
      <w:marBottom w:val="0"/>
      <w:divBdr>
        <w:top w:val="none" w:sz="0" w:space="0" w:color="auto"/>
        <w:left w:val="none" w:sz="0" w:space="0" w:color="auto"/>
        <w:bottom w:val="none" w:sz="0" w:space="0" w:color="auto"/>
        <w:right w:val="none" w:sz="0" w:space="0" w:color="auto"/>
      </w:divBdr>
    </w:div>
    <w:div w:id="1985771712">
      <w:bodyDiv w:val="1"/>
      <w:marLeft w:val="0"/>
      <w:marRight w:val="0"/>
      <w:marTop w:val="0"/>
      <w:marBottom w:val="0"/>
      <w:divBdr>
        <w:top w:val="none" w:sz="0" w:space="0" w:color="auto"/>
        <w:left w:val="none" w:sz="0" w:space="0" w:color="auto"/>
        <w:bottom w:val="none" w:sz="0" w:space="0" w:color="auto"/>
        <w:right w:val="none" w:sz="0" w:space="0" w:color="auto"/>
      </w:divBdr>
    </w:div>
    <w:div w:id="2036299140">
      <w:bodyDiv w:val="1"/>
      <w:marLeft w:val="0"/>
      <w:marRight w:val="0"/>
      <w:marTop w:val="0"/>
      <w:marBottom w:val="0"/>
      <w:divBdr>
        <w:top w:val="none" w:sz="0" w:space="0" w:color="auto"/>
        <w:left w:val="none" w:sz="0" w:space="0" w:color="auto"/>
        <w:bottom w:val="none" w:sz="0" w:space="0" w:color="auto"/>
        <w:right w:val="none" w:sz="0" w:space="0" w:color="auto"/>
      </w:divBdr>
    </w:div>
    <w:div w:id="2037726707">
      <w:bodyDiv w:val="1"/>
      <w:marLeft w:val="0"/>
      <w:marRight w:val="0"/>
      <w:marTop w:val="0"/>
      <w:marBottom w:val="0"/>
      <w:divBdr>
        <w:top w:val="none" w:sz="0" w:space="0" w:color="auto"/>
        <w:left w:val="none" w:sz="0" w:space="0" w:color="auto"/>
        <w:bottom w:val="none" w:sz="0" w:space="0" w:color="auto"/>
        <w:right w:val="none" w:sz="0" w:space="0" w:color="auto"/>
      </w:divBdr>
    </w:div>
    <w:div w:id="2042852464">
      <w:bodyDiv w:val="1"/>
      <w:marLeft w:val="0"/>
      <w:marRight w:val="0"/>
      <w:marTop w:val="0"/>
      <w:marBottom w:val="0"/>
      <w:divBdr>
        <w:top w:val="none" w:sz="0" w:space="0" w:color="auto"/>
        <w:left w:val="none" w:sz="0" w:space="0" w:color="auto"/>
        <w:bottom w:val="none" w:sz="0" w:space="0" w:color="auto"/>
        <w:right w:val="none" w:sz="0" w:space="0" w:color="auto"/>
      </w:divBdr>
    </w:div>
    <w:div w:id="2069642786">
      <w:bodyDiv w:val="1"/>
      <w:marLeft w:val="0"/>
      <w:marRight w:val="0"/>
      <w:marTop w:val="0"/>
      <w:marBottom w:val="0"/>
      <w:divBdr>
        <w:top w:val="none" w:sz="0" w:space="0" w:color="auto"/>
        <w:left w:val="none" w:sz="0" w:space="0" w:color="auto"/>
        <w:bottom w:val="none" w:sz="0" w:space="0" w:color="auto"/>
        <w:right w:val="none" w:sz="0" w:space="0" w:color="auto"/>
      </w:divBdr>
    </w:div>
    <w:div w:id="2071998980">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 w:id="214573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tore.ohchr.org/SelfServices/FilesHandler.ashx?enc=6QkG1d%2fPPRiCAqhKb7yhshYSuxMUifRIy90VnAxQecFFu5LsMgLbK6DPLrapwcZGXfBBP%2bzn8vhH7bEXeRxYqBrwl8jTyJQesxx53Sgg%2bs%2bGxAxpYhir%2f9YAn%2fUlrHmM" TargetMode="External"/><Relationship Id="rId13" Type="http://schemas.openxmlformats.org/officeDocument/2006/relationships/hyperlink" Target="https://docstore.ohchr.org/SelfServices/FilesHandler.ashx?enc=6QkG1d%2fPPRiCAqhKb7yhsuSfBzSGDWuEzXgneGlxKy41wmz2MnTBrZeymSmKzXECaYY0SzvEDeMfXoQ3%2fyqME26MB7Y%2bd59P6M5MlmLa0an5MUBo2FAzAie6ZbuZ7CvM" TargetMode="External"/><Relationship Id="rId18" Type="http://schemas.openxmlformats.org/officeDocument/2006/relationships/hyperlink" Target="https://www.ohchr.org/EN/NewsEvents/Pages/DisplayNews.aspx?NewsID=25083&amp;LangID=E" TargetMode="External"/><Relationship Id="rId26" Type="http://schemas.openxmlformats.org/officeDocument/2006/relationships/hyperlink" Target="https://docstore.ohchr.org/SelfServices/FilesHandler.ashx?enc=6QkG1d%2fPPRiCAqhKb7yhshYSuxMUifRIy90VnAxQecFFu5LsMgLbK6DPLrapwcZGXfBBP%2bzn8vhH7bEXeRxYqBrwl8jTyJQesxx53Sgg%2bs%2bGxAxpYhir%2f9YAn%2fUlrHmM" TargetMode="External"/><Relationship Id="rId3" Type="http://schemas.openxmlformats.org/officeDocument/2006/relationships/styles" Target="styles.xml"/><Relationship Id="rId21" Type="http://schemas.openxmlformats.org/officeDocument/2006/relationships/hyperlink" Target="https://docstore.ohchr.org/SelfServices/FilesHandler.ashx?enc=6QkG1d%2fPPRiCAqhKb7yhssuDH8wnwaNroEbarjOtEzlUG82%2b8QuH83krKMin2vv%2fBU7vkUmIsFDiYHUAEG72qUHf4sG1V10RhN1mWsOt6tvCIeOm9zz7V02l5KC9kBQ%2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tore.ohchr.org/SelfServices/FilesHandler.ashx?enc=6QkG1d%2fPPRiCAqhKb7yhssuDH8wnwaNroEbarjOtEzlUG82%2b8QuH83krKMin2vv%2fBU7vkUmIsFDiYHUAEG72qUHf4sG1V10RhN1mWsOt6tvCIeOm9zz7V02l5KC9kBQ%2b" TargetMode="External"/><Relationship Id="rId17" Type="http://schemas.openxmlformats.org/officeDocument/2006/relationships/hyperlink" Target="https://docstore.ohchr.org/SelfServices/FilesHandler.ashx?enc=6QkG1d%2fPPRiCAqhKb7yhssuDH8wnwaNroEbarjOtEzlUG82%2b8QuH83krKMin2vv%2fBU7vkUmIsFDiYHUAEG72qUHf4sG1V10RhN1mWsOt6tvCIeOm9zz7V02l5KC9kBQ%2b" TargetMode="External"/><Relationship Id="rId25" Type="http://schemas.openxmlformats.org/officeDocument/2006/relationships/hyperlink" Target="https://docstore.ohchr.org/SelfServices/FilesHandler.ashx?enc=6QkG1d%2fPPRiCAqhKb7yhsk9NYTJ5LuIHx5CO9hVh71qNW205gKlL7BMGRGCjSWJUJL%2b%2bI4T5mi2UqKPIiYXGjtIBHXexK%2fMiqS0nTO%2f1XtKfojiqu4W%2f0HIxuLOyLxh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ocstore.ohchr.org/SelfServices/FilesHandler.ashx?enc=6QkG1d%2fPPRiCAqhKb7yhshYSuxMUifRIy90VnAxQecFFu5LsMgLbK6DPLrapwcZGXfBBP%2bzn8vhH7bEXeRxYqBrwl8jTyJQesxx53Sgg%2bs%2bGxAxpYhir%2f9YAn%2fUlrHmM" TargetMode="External"/><Relationship Id="rId20" Type="http://schemas.openxmlformats.org/officeDocument/2006/relationships/hyperlink" Target="https://documents-dds-ny.un.org/doc/UNDOC/GEN/G19/212/53/PDF/G1921253.pdf?OpenElement" TargetMode="External"/><Relationship Id="rId29" Type="http://schemas.openxmlformats.org/officeDocument/2006/relationships/hyperlink" Target="https://docstore.ohchr.org/SelfServices/FilesHandler.ashx?enc=6QkG1d%2fPPRiCAqhKb7yhsvQVdNRtaN7IpelGqXma5IVa%2bWld66V4%2feKk9PM%2f6gK2xMIQPyR5%2fH65isilD%2bFw%2f0ZeoNq9o%2fWW%2fDB4G73NereFljTtyyT%2fNdNh5sOTIEC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b.ohchr.org/HRBodies/UPR/Documents/Session33/PT/HC_letter_33rdSession_Portugal.pdf" TargetMode="External"/><Relationship Id="rId24" Type="http://schemas.openxmlformats.org/officeDocument/2006/relationships/hyperlink" Target="https://docstore.ohchr.org/SelfServices/FilesHandler.ashx?enc=6QkG1d%2fPPRiCAqhKb7yhsuSfBzSGDWuEzXgneGlxKy41wmz2MnTBrZeymSmKzXECaYY0SzvEDeMfXoQ3%2fyqME26MB7Y%2bd59P6M5MlmLa0an5MUBo2FAzAie6ZbuZ7CvM" TargetMode="External"/><Relationship Id="rId32" Type="http://schemas.openxmlformats.org/officeDocument/2006/relationships/hyperlink" Target="https://spcommreports.ohchr.org/Tmsearch/TMDocuments" TargetMode="External"/><Relationship Id="rId5" Type="http://schemas.openxmlformats.org/officeDocument/2006/relationships/webSettings" Target="webSettings.xml"/><Relationship Id="rId15" Type="http://schemas.openxmlformats.org/officeDocument/2006/relationships/hyperlink" Target="https://docstore.ohchr.org/SelfServices/FilesHandler.ashx?enc=6QkG1d%2fPPRiCAqhKb7yhshYSuxMUifRIy90VnAxQecFFu5LsMgLbK6DPLrapwcZGXfBBP%2bzn8vhH7bEXeRxYqBrwl8jTyJQesxx53Sgg%2bs%2bGxAxpYhir%2f9YAn%2fUlrHmM" TargetMode="External"/><Relationship Id="rId23" Type="http://schemas.openxmlformats.org/officeDocument/2006/relationships/hyperlink" Target="https://documents-dds-ny.un.org/doc/UNDOC/GEN/G19/212/53/PDF/G1921253.pdf?OpenElement" TargetMode="External"/><Relationship Id="rId28" Type="http://schemas.openxmlformats.org/officeDocument/2006/relationships/hyperlink" Target="https://docstore.ohchr.org/SelfServices/FilesHandler.ashx?enc=6QkG1d%2fPPRiCAqhKb7yhssuDH8wnwaNroEbarjOtEzlUG82%2b8QuH83krKMin2vv%2fBU7vkUmIsFDiYHUAEG72qUHf4sG1V10RhN1mWsOt6tvCIeOm9zz7V02l5KC9kBQ%2b" TargetMode="External"/><Relationship Id="rId10" Type="http://schemas.openxmlformats.org/officeDocument/2006/relationships/hyperlink" Target="https://docstore.ohchr.org/SelfServices/FilesHandler.ashx?enc=6QkG1d%2fPPRiCAqhKb7yhsk9NYTJ5LuIHx5CO9hVh71qNW205gKlL7BMGRGCjSWJUJL%2b%2bI4T5mi2UqKPIiYXGjtIBHXexK%2fMiqS0nTO%2f1XtKfojiqu4W%2f0HIxuLOyLxhG" TargetMode="External"/><Relationship Id="rId19" Type="http://schemas.openxmlformats.org/officeDocument/2006/relationships/hyperlink" Target="https://docstore.ohchr.org/SelfServices/FilesHandler.ashx?enc=6QkG1d%2fPPRiCAqhKb7yhshYSuxMUifRIy90VnAxQecFFu5LsMgLbK6DPLrapwcZGXfBBP%2bzn8vhH7bEXeRxYqBrwl8jTyJQesxx53Sgg%2bs%2bGxAxpYhir%2f9YAn%2fUlrHmM" TargetMode="External"/><Relationship Id="rId31" Type="http://schemas.openxmlformats.org/officeDocument/2006/relationships/hyperlink" Target="https://spcommreports.ohchr.org/TMResultsBase/DownLoadPublicCommunicationFile?gId=25639" TargetMode="External"/><Relationship Id="rId4" Type="http://schemas.openxmlformats.org/officeDocument/2006/relationships/settings" Target="settings.xml"/><Relationship Id="rId9" Type="http://schemas.openxmlformats.org/officeDocument/2006/relationships/hyperlink" Target="https://docstore.ohchr.org/SelfServices/FilesHandler.ashx?enc=6QkG1d%2fPPRiCAqhKb7yhsvQVdNRtaN7IpelGqXma5IVa%2bWld66V4%2feKk9PM%2f6gK2xMIQPyR5%2fH65isilD%2bFw%2f0ZeoNq9o%2fWW%2fDB4G73NereFljTtyyT%2fNdNh5sOTIECD" TargetMode="External"/><Relationship Id="rId14" Type="http://schemas.openxmlformats.org/officeDocument/2006/relationships/hyperlink" Target="https://docstore.ohchr.org/SelfServices/FilesHandler.ashx?enc=6QkG1d%2fPPRiCAqhKb7yhsvQVdNRtaN7IpelGqXma5IVa%2bWld66V4%2feKk9PM%2f6gK2xMIQPyR5%2fH65isilD%2bFw%2f0ZeoNq9o%2fWW%2fDB4G73NereFljTtyyT%2fNdNh5sOTIECD" TargetMode="External"/><Relationship Id="rId22" Type="http://schemas.openxmlformats.org/officeDocument/2006/relationships/hyperlink" Target="https://docstore.ohchr.org/SelfServices/FilesHandler.ashx?enc=6QkG1d%2fPPRiCAqhKb7yhssuDH8wnwaNroEbarjOtEzlUG82%2b8QuH83krKMin2vv%2fBU7vkUmIsFDiYHUAEG72qUHf4sG1V10RhN1mWsOt6tvCIeOm9zz7V02l5KC9kBQ%2b" TargetMode="External"/><Relationship Id="rId27" Type="http://schemas.openxmlformats.org/officeDocument/2006/relationships/hyperlink" Target="https://docstore.ohchr.org/SelfServices/FilesHandler.ashx?enc=6QkG1d%2fPPRiCAqhKb7yhssuDH8wnwaNroEbarjOtEzlUG82%2b8QuH83krKMin2vv%2fBU7vkUmIsFDiYHUAEG72qUHf4sG1V10RhN1mWsOt6tvCIeOm9zz7V02l5KC9kBQ%2b" TargetMode="External"/><Relationship Id="rId30" Type="http://schemas.openxmlformats.org/officeDocument/2006/relationships/hyperlink" Target="https://docstore.ohchr.org/SelfServices/FilesHandler.ashx?enc=6QkG1d%2fPPRiCAqhKb7yhsk9NYTJ5LuIHx5CO9hVh71qNW205gKlL7BMGRGCjSWJUJL%2b%2bI4T5mi2UqKPIiYXGjtIBHXexK%2fMiqS0nTO%2f1XtKfojiqu4W%2f0HIxuLOyLxhG" TargetMode="Externa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2AC05-84E7-488B-8CC2-84C8BA6D7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3540</Words>
  <Characters>20179</Characters>
  <Application>Microsoft Office Word</Application>
  <DocSecurity>0</DocSecurity>
  <Lines>168</Lines>
  <Paragraphs>47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Marie-Dominique</cp:lastModifiedBy>
  <cp:revision>2</cp:revision>
  <dcterms:created xsi:type="dcterms:W3CDTF">2021-03-03T22:33:00Z</dcterms:created>
  <dcterms:modified xsi:type="dcterms:W3CDTF">2021-03-03T22:33:00Z</dcterms:modified>
</cp:coreProperties>
</file>